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  <w:keepLines/>
        <w:spacing w:after="100" w:before="0"/>
      </w:pPr>
      <w:r>
        <w:rPr>
          <w:b w:val="0"/>
        </w:rPr>
        <w:t>Anexo del monográfico 4</w:t>
      </w:r>
    </w:p>
    <w:p>
      <w:pPr>
        <w:pStyle w:val="Title"/>
        <w:keepLines/>
        <w:spacing w:after="100" w:before="0"/>
      </w:pPr>
      <w:r>
        <w:rPr>
          <w:b/>
        </w:rPr>
        <w:t>Correspondencia funcional de Kumoss con ISO IEC 42001</w:t>
      </w:r>
    </w:p>
    <w:p>
      <w:pPr>
        <w:keepLines/>
        <w:spacing w:after="100" w:before="0"/>
      </w:pPr>
      <w:r>
        <w:rPr>
          <w:b w:val="0"/>
        </w:rPr>
        <w:t>Relacionar capacidades observadas del producto con preguntas, requisitos y áreas de control que el SGIA debe valorar según su alcance y tratamiento de riesgos.</w:t>
      </w:r>
    </w:p>
    <w:p>
      <w:pPr>
        <w:pStyle w:val="Heading1"/>
        <w:keepLines/>
        <w:spacing w:after="100" w:before="0"/>
      </w:pPr>
      <w:r>
        <w:rPr>
          <w:b/>
        </w:rPr>
        <w:t>Cómo leer la matriz</w:t>
      </w:r>
    </w:p>
    <w:p>
      <w:pPr>
        <w:keepLines/>
        <w:spacing w:after="160" w:before="0"/>
      </w:pPr>
      <w:r>
        <w:rPr>
          <w:b w:val="0"/>
          <w:sz w:val="20"/>
        </w:rPr>
        <w:t>La matriz es una correspondencia funcional del curso. No demuestra conformidad de Kumoss ni de una implantación de Inditex.</w:t>
      </w:r>
    </w:p>
    <w:p>
      <w:pPr>
        <w:keepLines/>
        <w:spacing w:after="160" w:before="0"/>
      </w:pPr>
      <w:r>
        <w:rPr>
          <w:b w:val="0"/>
          <w:sz w:val="20"/>
        </w:rPr>
        <w:t>Se citan áreas del Anexo A, no subcontroles cuyo texto no se haya contrastado. Su selección y aplicabilidad se justifican en el SGIA.</w:t>
      </w:r>
    </w:p>
    <w:p>
      <w:pPr>
        <w:keepLines/>
        <w:spacing w:after="160" w:before="0"/>
      </w:pPr>
      <w:r>
        <w:rPr>
          <w:b w:val="0"/>
          <w:sz w:val="20"/>
        </w:rPr>
        <w:t>La cláusula 6.3 se refiere a planificar cambios del SGIA. Para una operación de infraestructura se examina principalmente el control operacional de 8.1; se añade 6.3 cuando cambie el propio sistema de gestión.</w:t>
      </w:r>
    </w:p>
    <w:p>
      <w:pPr>
        <w:keepLines/>
        <w:spacing w:after="160" w:before="0"/>
      </w:pPr>
      <w:r>
        <w:rPr>
          <w:b w:val="0"/>
          <w:sz w:val="20"/>
        </w:rPr>
        <w:t>A.8 trata la información a las partes interesadas. A.10 trata relaciones con terceros y clientes. No se usan como etiquetas generales de auditoría de cumplimiento o de control de accesos.</w:t>
      </w:r>
    </w:p>
    <w:p>
      <w:pPr>
        <w:keepLines/>
        <w:spacing w:after="160" w:before="0"/>
      </w:pPr>
      <w:r>
        <w:rPr>
          <w:b w:val="0"/>
          <w:sz w:val="20"/>
        </w:rPr>
        <w:t>Hash, firma, formato y método de autorización se determinan en el procedimiento aplicable. La matriz no los presenta como funciones nativas acreditadas ni como requisitos universales.</w:t>
      </w:r>
    </w:p>
    <w:p>
      <w:pPr>
        <w:pStyle w:val="Heading1"/>
        <w:keepLines/>
        <w:spacing w:after="100" w:before="0"/>
      </w:pPr>
      <w:r>
        <w:rPr>
          <w:b/>
        </w:rPr>
        <w:t>Correcciones que debes retener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361"/>
        <w:gridCol w:w="13550"/>
      </w:tblGrid>
      <w:tr>
        <w:trPr>
          <w:cantSplit/>
          <w:tblHeader/>
        </w:trPr>
        <w:tc>
          <w:tcPr>
            <w:tcW w:type="dxa" w:w="13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60" w:lineRule="exact"/>
            </w:pPr>
            <w:r>
              <w:rPr>
                <w:b/>
                <w:color w:val="FFFFFF"/>
                <w:sz w:val="20"/>
              </w:rPr>
              <w:t>Referencia</w:t>
            </w:r>
          </w:p>
        </w:tc>
        <w:tc>
          <w:tcPr>
            <w:tcW w:type="dxa" w:w="13550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60" w:lineRule="exact"/>
            </w:pPr>
            <w:r>
              <w:rPr>
                <w:b/>
                <w:color w:val="FFFFFF"/>
                <w:sz w:val="20"/>
              </w:rPr>
              <w:t>Lectura que utiliza el curso</w:t>
            </w:r>
          </w:p>
        </w:tc>
      </w:tr>
      <w:tr>
        <w:trPr>
          <w:cantSplit/>
        </w:trPr>
        <w:tc>
          <w:tcPr>
            <w:tcW w:type="dxa" w:w="13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60" w:lineRule="exact"/>
            </w:pPr>
            <w:r>
              <w:rPr>
                <w:b w:val="0"/>
                <w:color w:val="000000"/>
                <w:sz w:val="20"/>
              </w:rPr>
              <w:t>6.3</w:t>
            </w:r>
          </w:p>
        </w:tc>
        <w:tc>
          <w:tcPr>
            <w:tcW w:type="dxa" w:w="13550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60" w:lineRule="exact"/>
            </w:pPr>
            <w:r>
              <w:rPr>
                <w:b w:val="0"/>
                <w:color w:val="000000"/>
                <w:sz w:val="20"/>
              </w:rPr>
              <w:t>Planificación de cambios del SGIA; no se asigna automáticamente a cada modificación de infraestructura.</w:t>
            </w:r>
          </w:p>
        </w:tc>
      </w:tr>
      <w:tr>
        <w:trPr>
          <w:cantSplit/>
        </w:trPr>
        <w:tc>
          <w:tcPr>
            <w:tcW w:type="dxa" w:w="13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60" w:lineRule="exact"/>
            </w:pPr>
            <w:r>
              <w:rPr>
                <w:b w:val="0"/>
                <w:color w:val="000000"/>
                <w:sz w:val="20"/>
              </w:rPr>
              <w:t>A.8</w:t>
            </w:r>
          </w:p>
        </w:tc>
        <w:tc>
          <w:tcPr>
            <w:tcW w:type="dxa" w:w="13550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60" w:lineRule="exact"/>
            </w:pPr>
            <w:r>
              <w:rPr>
                <w:b w:val="0"/>
                <w:color w:val="000000"/>
                <w:sz w:val="20"/>
              </w:rPr>
              <w:t>Información a partes interesadas; no es un rótulo general para el auditor de cumplimiento.</w:t>
            </w:r>
          </w:p>
        </w:tc>
      </w:tr>
      <w:tr>
        <w:trPr>
          <w:cantSplit/>
        </w:trPr>
        <w:tc>
          <w:tcPr>
            <w:tcW w:type="dxa" w:w="13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60" w:lineRule="exact"/>
            </w:pPr>
            <w:r>
              <w:rPr>
                <w:b w:val="0"/>
                <w:color w:val="000000"/>
                <w:sz w:val="20"/>
              </w:rPr>
              <w:t>A.10</w:t>
            </w:r>
          </w:p>
        </w:tc>
        <w:tc>
          <w:tcPr>
            <w:tcW w:type="dxa" w:w="13550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60" w:lineRule="exact"/>
            </w:pPr>
            <w:r>
              <w:rPr>
                <w:b w:val="0"/>
                <w:color w:val="000000"/>
                <w:sz w:val="20"/>
              </w:rPr>
              <w:t>Relaciones con terceros y clientes; el control interno de roles se estudia desde organización y uso.</w:t>
            </w:r>
          </w:p>
        </w:tc>
      </w:tr>
    </w:tbl>
    <w:p>
      <w:pPr>
        <w:keepLines/>
        <w:spacing w:after="80" w:before="0"/>
      </w:pPr>
      <w:r>
        <w:rPr>
          <w:b w:val="0"/>
          <w:sz w:val="2"/>
        </w:rPr>
      </w:r>
    </w:p>
    <w:p>
      <w:pPr>
        <w:keepLines/>
        <w:spacing w:after="100" w:before="0"/>
      </w:pPr>
      <w:r>
        <w:rPr>
          <w:b w:val="0"/>
          <w:sz w:val="19"/>
        </w:rPr>
        <w:t>La columna de evidencia describe qué buscar según el criterio aplicable. No afirma que esas evidencias existan en una instalación concreta.</w:t>
      </w:r>
    </w:p>
    <w:p>
      <w:pPr>
        <w:pStyle w:val="Heading1"/>
        <w:keepLines/>
        <w:pageBreakBefore/>
        <w:spacing w:after="160" w:before="0"/>
      </w:pPr>
      <w:r>
        <w:rPr>
          <w:b/>
        </w:rPr>
        <w:t>Matriz integrada mecanismos y evidencias</w:t>
      </w:r>
    </w:p>
    <w:p>
      <w:pPr>
        <w:keepLines/>
        <w:spacing w:after="100" w:before="0"/>
      </w:pPr>
      <w:r>
        <w:rPr>
          <w:b w:val="0"/>
          <w:sz w:val="17"/>
        </w:rPr>
        <w:t>Revisión del código 21eb7866ac995f6d6f3159f2ea342e472893638c  |  Áreas del Anexo A sujetas a aplicabilidad.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01"/>
        <w:gridCol w:w="3061"/>
        <w:gridCol w:w="2324"/>
        <w:gridCol w:w="2438"/>
        <w:gridCol w:w="5386"/>
      </w:tblGrid>
      <w:tr>
        <w:trPr>
          <w:cantSplit/>
          <w:tblHeader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Mecanismo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Capacidad observada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Cláusulas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Área del Anexo A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Evidencia a solicitar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Plan fijado y aplicación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Generar conserva el plan y la raíz de trabajo; apply exige ese artefacto, lo ejecuta sin replanificar y lo descarta al terminar el intento.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8.1 Operación; 7.5 Información documentada. 6.3 solo si cambia el SGIA.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A.6 Ciclo de vida; A.9 Uso de sistemas de IA, según aplicabilidad.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Relación entre petición, commit, plan identificado, decisión válida, ejecución y estado posterior. Hash o firma cuando el procedimiento los exija. Comprobar cómo se protege la identidad del artefacto.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Revisión de cumplimiento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Un modelo evalúa petición y plan bajo reglas configuradas; el programa deriva el veredicto de sus hallazgos. La revisión es opcional y corresponde al modo Generar.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8.1 Operación; 9.1 Seguimiento y evaluación; 7.5 Información documentada.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A.6 Ciclo de vida; A.9 Uso. A.8 si hay requisitos específicos de información a interesados.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Configuración efectiva, reglas y versiones de prompts activas en Phoenix, entrada evaluada, hallazgos y resultado. Pruebas de eficacia y decisión sobre sus límites. El YAML por sí solo no acredita todas las reglas efectivas.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Identidad y roles OIDC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OIDC valida identidad cuando se habilita. Roles y propiedad de sesiones limitan acciones. El emisor vacío distribuido utiliza una identidad local elevada.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5.3 Responsabilidades y autoridad; 8.1 Operación; 7.5 Información documentada.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A.3 Organización interna; A.9 Uso. A.10 para responsabilidades de un proveedor de identidad externo, si procede.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Configuración efectiva saneada del emisor y cliente, validación de tokens, asignación y revisión de roles, propiedad y pruebas de permisos. Relación entre permisos técnicos y atribuciones de la organización; nunca adjuntar secretos.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Reconciliación de drift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El recorrido dedicado ajusta código hacia lo observado, utiliza selección y excepciones y termina sin fijar un plan para apply.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8.1 Operación; 8.2 y 8.3 Evaluación y tratamiento del riesgo.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A.6 Ciclo de vida; A.9 Uso de sistemas de IA.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Ámbito, código de referencia, diferencias observadas, targets, excepciones y propuesta de diff. Criterio y decisión de aceptar, excluir o corregir. La remediación cloud se evalúa por un procedimiento distinto del modo Drift.</w:t>
            </w:r>
          </w:p>
        </w:tc>
      </w:tr>
    </w:tbl>
    <w:p>
      <w:pPr>
        <w:keepLines/>
        <w:spacing w:after="80" w:before="0"/>
      </w:pPr>
      <w:r>
        <w:rPr>
          <w:b w:val="0"/>
          <w:sz w:val="2"/>
        </w:rPr>
      </w:r>
    </w:p>
    <w:p>
      <w:pPr>
        <w:pStyle w:val="Heading1"/>
        <w:keepLines/>
        <w:pageBreakBefore/>
        <w:spacing w:after="160" w:before="0"/>
      </w:pPr>
      <w:r>
        <w:rPr>
          <w:b/>
        </w:rPr>
        <w:t>Matriz integrada continuación</w:t>
      </w:r>
    </w:p>
    <w:p>
      <w:pPr>
        <w:keepLines/>
        <w:spacing w:after="100" w:before="0"/>
      </w:pPr>
      <w:r>
        <w:rPr>
          <w:b w:val="0"/>
          <w:sz w:val="17"/>
        </w:rPr>
        <w:t>Revisión del código 21eb7866ac995f6d6f3159f2ea342e472893638c  |  Áreas del Anexo A sujetas a aplicabilidad.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01"/>
        <w:gridCol w:w="3061"/>
        <w:gridCol w:w="2324"/>
        <w:gridCol w:w="2438"/>
        <w:gridCol w:w="5386"/>
      </w:tblGrid>
      <w:tr>
        <w:trPr>
          <w:cantSplit/>
          <w:tblHeader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Mecanismo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Capacidad observada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Cláusulas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Área del Anexo A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173C5D"/>
          </w:tcPr>
          <w:p>
            <w:pPr>
              <w:spacing w:after="20" w:before="20" w:line="244" w:lineRule="exact"/>
            </w:pPr>
            <w:r>
              <w:rPr>
                <w:b/>
                <w:color w:val="FFFFFF"/>
                <w:sz w:val="18"/>
              </w:rPr>
              <w:t>Evidencia a solicitar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Importación y estado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La importación relaciona inventario y recursos gestionados y escribe el estado durante la ronda. La revisión posterior de una PR no precede a todas esas escrituras.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8.1 Operación; 7.5 Información documentada; 8.2 Evaluación del riesgo.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A.6 Ciclo de vida; A.9 Uso de sistemas de IA.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Alcance autorizado, inventario y exclusiones, correspondencia de recursos e identificadores, cambios de estado y resultados parciales. Protección y recuperación del backend; evidencias del momento en que se autoriza cada efecto.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Trazas y datos del proceso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Las trazas y las llamadas al modelo pueden contener peticiones, mensajes, herramientas, resultados y metadatos. El registro facilita investigar, pero su mera presencia no prueba minimización.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7.5 Información documentada; 9.1 Seguimiento; 8.2 y 8.3 Riesgo.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A.6 Ciclo de vida; A.9 Uso. A.7 cuando se evalúan datos utilizados por el sistema de IA.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Mapa de datos y destinos, acceso y retención, muestra autorizada y saneada cuando exista, reglas de filtrado y pruebas de minimización. Identificar exactamente qué dato se observó; ausencia de muestra no equivale a fuga demostrada.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Modelos y servicios externos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La solución combina modelos, motor IaC, proveedor Git, bibliotecas y servicios. Las reglas efectivas pueden depender del registro de prompts en Phoenix.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8.1 Operación; 6.1.2 y 6.1.3 Evaluación y tratamiento del riesgo.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A.10 Relaciones con terceros y clientes.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FFFFF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Versiones y procedencia, dependencias, licencias, condiciones del proveedor, flujos de datos, responsabilidades de actualización y aceptación de riesgos. No atribuir al proyecto la seguridad de toda su cadena sin contraste.</w:t>
            </w:r>
          </w:p>
        </w:tc>
      </w:tr>
      <w:tr>
        <w:trPr>
          <w:cantSplit/>
        </w:trPr>
        <w:tc>
          <w:tcPr>
            <w:tcW w:type="dxa" w:w="170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Cambios de políticas y responsabilidades del SGIA</w:t>
            </w:r>
          </w:p>
        </w:tc>
        <w:tc>
          <w:tcPr>
            <w:tcW w:type="dxa" w:w="3061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Kumoss permite configurar reglas y roles. La aprobación y modificación de políticas, autoridades o criterios del SGIA pertenece al proceso de gestión de la organización.</w:t>
            </w:r>
          </w:p>
        </w:tc>
        <w:tc>
          <w:tcPr>
            <w:tcW w:type="dxa" w:w="2324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6.3 Planificación de cambios del SGIA; 5.3 Autoridad; 7.5 Información documentada.</w:t>
            </w:r>
          </w:p>
        </w:tc>
        <w:tc>
          <w:tcPr>
            <w:tcW w:type="dxa" w:w="2438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A.2 Políticas de IA; A.3 Organización interna, según aplicabilidad.</w:t>
            </w:r>
          </w:p>
        </w:tc>
        <w:tc>
          <w:tcPr>
            <w:tcW w:type="dxa" w:w="5386"/>
            <w:vAlign w:val="center"/>
            <w:tcBorders>
              <w:top w:val="single" w:sz="4" w:color="D9D9D9"/>
              <w:bottom w:val="single" w:sz="4" w:color="D9D9D9"/>
              <w:left w:val="single" w:sz="4" w:color="D9D9D9"/>
              <w:right w:val="single" w:sz="4" w:color="D9D9D9"/>
            </w:tcBorders>
            <w:tcMar>
              <w:top w:w="85" w:type="dxa"/>
              <w:bottom w:w="85" w:type="dxa"/>
              <w:left w:w="90" w:type="dxa"/>
              <w:right w:w="90" w:type="dxa"/>
            </w:tcMar>
            <w:shd w:fill="F4F7F9"/>
          </w:tcPr>
          <w:p>
            <w:pPr>
              <w:spacing w:after="20" w:before="20" w:line="244" w:lineRule="exact"/>
            </w:pPr>
            <w:r>
              <w:rPr>
                <w:b w:val="0"/>
                <w:color w:val="000000"/>
                <w:sz w:val="18"/>
              </w:rPr>
              <w:t>Cambio del procedimiento o política, motivo, consecuencias, responsables, revisión, versión y comunicación. Si se propone automerge, política previa y comprobación por cambio mediante controles externos; no capacidad nativa acreditada.</w:t>
            </w:r>
          </w:p>
        </w:tc>
      </w:tr>
    </w:tbl>
    <w:p>
      <w:pPr>
        <w:keepLines/>
        <w:spacing w:after="80" w:before="0"/>
      </w:pPr>
      <w:r>
        <w:rPr>
          <w:b w:val="0"/>
          <w:sz w:val="2"/>
        </w:rPr>
      </w:r>
    </w:p>
    <w:p>
      <w:pPr>
        <w:pStyle w:val="Heading2"/>
        <w:keepLines/>
        <w:spacing w:after="100" w:before="0"/>
      </w:pPr>
      <w:r>
        <w:rPr>
          <w:b/>
        </w:rPr>
        <w:t>Fuentes de nomenclatura</w:t>
      </w:r>
    </w:p>
    <w:p>
      <w:pPr>
        <w:keepLines/>
        <w:spacing w:after="60"/>
      </w:pPr>
      <w:hyperlink r:id="rId11">
        <w:r>
          <w:rPr>
            <w:color w:val="17645F"/>
            <w:sz w:val="17"/>
          </w:rPr>
          <w:t>IEC Vista previa e índice oficial de ISO IEC 42001 2023</w:t>
        </w:r>
      </w:hyperlink>
    </w:p>
    <w:p>
      <w:pPr>
        <w:keepLines/>
        <w:spacing w:after="60"/>
      </w:pPr>
      <w:hyperlink r:id="rId12">
        <w:r>
          <w:rPr>
            <w:color w:val="17645F"/>
            <w:sz w:val="17"/>
          </w:rPr>
          <w:t>BSI AI Controls Implementation Agenda</w:t>
        </w:r>
      </w:hyperlink>
    </w:p>
    <w:p>
      <w:pPr>
        <w:keepLines/>
        <w:spacing w:after="100" w:before="0"/>
      </w:pPr>
      <w:r>
        <w:rPr>
          <w:b w:val="0"/>
          <w:sz w:val="17"/>
        </w:rPr>
        <w:t>Las rutas del código y el detalle de esta correspondencia se conservan en la guía HTML y en el registro de fuentes del paquete.</w:t>
      </w:r>
    </w:p>
    <w:sectPr w:rsidR="00FC693F" w:rsidRPr="0006063C" w:rsidSect="00034616">
      <w:headerReference w:type="default" r:id="rId9"/>
      <w:footerReference w:type="default" r:id="rId10"/>
      <w:pgSz w:w="16838" w:h="11906" w:orient="landscape"/>
      <w:pgMar w:top="850" w:right="964" w:bottom="850" w:left="964" w:header="369" w:footer="36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 xml:space="preserve">José Manuel Hernández Agudo  |  Anexo MC  |  Página </w:t>
    </w:r>
    <w:fldSimple w:instr="PAGE">
      <w:r>
        <w:t>1</w:t>
      </w:r>
    </w:fldSimple>
    <w:r>
      <w:t xml:space="preserve"> de </w:t>
    </w:r>
    <w:fldSimple w:instr="NUMPAGES">
      <w: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sz w:val="16"/>
      </w:rPr>
      <w:t>Fundamentos del SGIA e ISO/IEC 42001  |  Monográfico 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keepNext w:val="0"/>
      <w:spacing w:line="284" w:lineRule="exact"/>
    </w:pPr>
    <w:rPr>
      <w:rFonts w:ascii="Arial" w:hAnsi="Arial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keepNext w:val="0"/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keepNext w:val="0"/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2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after="120"/>
    </w:pPr>
    <w:rPr>
      <w:rFonts w:asciiTheme="majorHAnsi" w:eastAsiaTheme="majorEastAsia" w:hAnsiTheme="majorHAnsi" w:cstheme="majorBidi" w:ascii="Arial" w:hAnsi="Arial"/>
      <w:b/>
      <w:i/>
      <w:iCs/>
      <w:color w:val="000000"/>
      <w:spacing w:val="15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webstore.iec.ch/en/iec_catalog/product/preview/?id=cHViL3BkZi9wcmV2aWV3L2luZm9faXNvaWVjNDIwMDF7ZWQxLjB9ZW4ucGRm" TargetMode="External"/><Relationship Id="rId12" Type="http://schemas.openxmlformats.org/officeDocument/2006/relationships/hyperlink" Target="https://www.bsigroup.com/siteassets/pdf/fr-fr/products-and-services/fr-as-cross-brand-trainingguide-international-iso42001-ai-controls-implementation-0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Correspondencia funcional de Kumoss con ISO IEC 42001</dc:title>
  <dc:subject>Monográfico 4 Kumoss Actividades y correspondencia funcional</dc:subject>
  <dc:creator>José Manuel Hernández Agudo</dc:creator>
  <cp:keywords>Kumoss, SGIA, ISO 42001, GitOps, automerge, drift, Phoenix, OpenTelemetry, evidencia, gobierno de IA</cp:keywords>
  <dc:description>generated by python-docx</dc:description>
  <cp:lastModifiedBy>José Manuel Hernández Agudo</cp:lastModifiedBy>
  <cp:revision>1</cp:revision>
  <dcterms:created xsi:type="dcterms:W3CDTF">2026-10-29T00:00:00Z</dcterms:created>
  <dcterms:modified xsi:type="dcterms:W3CDTF">2026-10-29T00:00:00Z</dcterms:modified>
  <cp:category/>
</cp:coreProperties>
</file>