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  <w:keepLines/>
        <w:spacing w:after="100" w:before="0"/>
      </w:pPr>
      <w:r>
        <w:rPr>
          <w:b w:val="0"/>
        </w:rPr>
        <w:t>Actividad 3 del alumno</w:t>
      </w:r>
    </w:p>
    <w:p>
      <w:pPr>
        <w:pStyle w:val="Title"/>
        <w:keepLines/>
        <w:spacing w:after="100" w:before="0"/>
      </w:pPr>
      <w:r>
        <w:rPr>
          <w:b/>
        </w:rPr>
        <w:t>Auditoría de minimización de datos en trazas de Phoenix y OpenTelemetry</w:t>
      </w:r>
    </w:p>
    <w:p>
      <w:pPr>
        <w:keepLines/>
        <w:spacing w:after="100" w:before="0"/>
      </w:pPr>
      <w:r>
        <w:rPr>
          <w:b w:val="0"/>
        </w:rPr>
        <w:t>Evaluar documentalmente qué categorías de información pueden recorrer la instrumentación y proponer una minimización verificable, sin afirmar una exposición de datos o credenciales que no se haya observado.</w:t>
      </w:r>
    </w:p>
    <w:p>
      <w:pPr>
        <w:pStyle w:val="Heading2"/>
        <w:keepLines/>
        <w:spacing w:after="100" w:before="0"/>
      </w:pPr>
      <w:r>
        <w:rPr>
          <w:b/>
        </w:rPr>
        <w:t>Qué necesitas saber</w:t>
      </w:r>
    </w:p>
    <w:p>
      <w:pPr>
        <w:keepLines/>
        <w:spacing w:after="100" w:before="0"/>
      </w:pPr>
      <w:r>
        <w:rPr>
          <w:b w:val="0"/>
          <w:sz w:val="20"/>
        </w:rPr>
        <w:t>Una traza registra pasos de una operación. Phoenix permite consultarla; OpenTelemetry instrumenta y envía registros mediante OTLP. Minimizar consiste en conservar los datos necesarios para una finalidad definida.</w:t>
      </w:r>
    </w:p>
    <w:p>
      <w:pPr>
        <w:keepLines/>
        <w:spacing w:after="100" w:before="0"/>
      </w:pPr>
      <w:r>
        <w:rPr>
          <w:b w:val="0"/>
          <w:sz w:val="19"/>
        </w:rPr>
        <w:t>No se han facilitado trazas reales ni configuración de un despliegue. El análisis por defecto es documental. La presencia de una ruta de serialización permite examinar un riesgo de diseño; no demuestra que una variable, dato personal o credencial concreta haya sido registrada.</w:t>
      </w:r>
    </w:p>
    <w:p>
      <w:pPr>
        <w:pStyle w:val="Heading2"/>
        <w:keepLines/>
        <w:spacing w:after="100" w:before="0"/>
      </w:pPr>
      <w:r>
        <w:rPr>
          <w:b/>
        </w:rPr>
        <w:t>Cómo completar la ficha</w:t>
      </w:r>
    </w:p>
    <w:p>
      <w:pPr>
        <w:keepLines/>
        <w:spacing w:after="80" w:before="0"/>
      </w:pPr>
      <w:r>
        <w:rPr>
          <w:b w:val="0"/>
          <w:sz w:val="19"/>
        </w:rPr>
        <w:t>1. Lee las fuentes A3-F1 a A3-F6 y delimita el alcance documental. No accedas a Phoenix ni obtengas nuevos logs, variables de entorno, tokens o credenciales.</w:t>
      </w:r>
    </w:p>
    <w:p>
      <w:pPr>
        <w:keepLines/>
        <w:spacing w:after="80" w:before="0"/>
      </w:pPr>
      <w:r>
        <w:rPr>
          <w:b w:val="0"/>
          <w:sz w:val="19"/>
        </w:rPr>
        <w:t>2. Responde las seis preguntas mediante el código y la documentación. Solo si ya existe una muestra autorizada y saneada aportada por el docente, registra su identificador sin copiar valores sensibles.</w:t>
      </w:r>
    </w:p>
    <w:p>
      <w:pPr>
        <w:keepLines/>
        <w:spacing w:after="80" w:before="0"/>
      </w:pPr>
      <w:r>
        <w:rPr>
          <w:b w:val="0"/>
          <w:sz w:val="19"/>
        </w:rPr>
        <w:t>3. Selecciona el dictamen correspondiente al alcance realmente evaluado y define medidas proporcionales con una comprobación segura. No presentes una hipótesis de exposición como un incidente confirmado.</w:t>
      </w:r>
    </w:p>
    <w:p>
      <w:pPr>
        <w:keepLines/>
        <w:spacing w:after="100" w:before="0"/>
      </w:pPr>
      <w:r>
        <w:rPr>
          <w:b w:val="0"/>
          <w:sz w:val="18"/>
        </w:rPr>
        <w:t>Trabaja con las fuentes enlazadas. Si no hay material de una ejecución, registra el límite de evidencia. La actividad no requiere ejecutar comandos ni acceder a una nube o a trazas reales.</w:t>
      </w:r>
    </w:p>
    <w:p>
      <w:pPr>
        <w:keepLines/>
        <w:spacing w:after="200" w:before="0"/>
      </w:pPr>
      <w:r>
        <w:rPr>
          <w:b w:val="0"/>
          <w:sz w:val="20"/>
        </w:rPr>
        <w:t>Alumno o equipo __________________________________   Fecha ______________</w:t>
      </w:r>
    </w:p>
    <w:p>
      <w:pPr>
        <w:pStyle w:val="Heading2"/>
        <w:keepLines/>
        <w:spacing w:after="100" w:before="0"/>
      </w:pPr>
      <w:r>
        <w:rPr>
          <w:b/>
        </w:rPr>
        <w:t>Fuentes para consultar</w:t>
      </w:r>
    </w:p>
    <w:p>
      <w:pPr>
        <w:keepLines/>
        <w:spacing w:after="60"/>
      </w:pPr>
      <w:hyperlink r:id="rId11">
        <w:r>
          <w:rPr>
            <w:color w:val="17645F"/>
            <w:sz w:val="17"/>
          </w:rPr>
          <w:t>A3-F1  phoenix_tracer.py  líneas 68-91</w:t>
        </w:r>
      </w:hyperlink>
    </w:p>
    <w:p>
      <w:pPr>
        <w:keepLines/>
        <w:spacing w:after="60"/>
      </w:pPr>
      <w:hyperlink r:id="rId12">
        <w:r>
          <w:rPr>
            <w:color w:val="17645F"/>
            <w:sz w:val="17"/>
          </w:rPr>
          <w:t>A3-F2  phoenix_tracer.py  líneas 403-490</w:t>
        </w:r>
      </w:hyperlink>
    </w:p>
    <w:p>
      <w:pPr>
        <w:keepLines/>
        <w:spacing w:after="60"/>
      </w:pPr>
      <w:hyperlink r:id="rId13">
        <w:r>
          <w:rPr>
            <w:color w:val="17645F"/>
            <w:sz w:val="17"/>
          </w:rPr>
          <w:t>A3-F3  phoenix_tracer.py  líneas 231-255</w:t>
        </w:r>
      </w:hyperlink>
    </w:p>
    <w:p>
      <w:pPr>
        <w:keepLines/>
        <w:spacing w:after="60"/>
      </w:pPr>
      <w:hyperlink r:id="rId14">
        <w:r>
          <w:rPr>
            <w:color w:val="17645F"/>
            <w:sz w:val="17"/>
          </w:rPr>
          <w:t>A3-F4  _initializer.py  líneas 61-86</w:t>
        </w:r>
      </w:hyperlink>
    </w:p>
    <w:p>
      <w:pPr>
        <w:keepLines/>
        <w:spacing w:after="60"/>
      </w:pPr>
      <w:hyperlink r:id="rId15">
        <w:r>
          <w:rPr>
            <w:color w:val="17645F"/>
            <w:sz w:val="17"/>
          </w:rPr>
          <w:t>A3-F5  hardening.adoc  líneas 69-94</w:t>
        </w:r>
      </w:hyperlink>
    </w:p>
    <w:p>
      <w:pPr>
        <w:keepLines/>
        <w:spacing w:after="60"/>
      </w:pPr>
      <w:hyperlink r:id="rId16">
        <w:r>
          <w:rPr>
            <w:color w:val="17645F"/>
            <w:sz w:val="17"/>
          </w:rPr>
          <w:t>A3-F6  operations.adoc  líneas 59-69</w:t>
        </w:r>
      </w:hyperlink>
    </w:p>
    <w:p>
      <w:pPr>
        <w:keepLines/>
        <w:spacing w:after="0" w:before="0"/>
      </w:pPr>
      <w:r>
        <w:rPr>
          <w:b w:val="0"/>
          <w:sz w:val="16"/>
        </w:rPr>
        <w:t>Código de referencia 21eb7866ac995f6d6f3159f2ea342e472893638c</w:t>
      </w:r>
    </w:p>
    <w:p>
      <w:pPr>
        <w:pStyle w:val="Heading1"/>
        <w:keepLines/>
        <w:pageBreakBefore/>
        <w:spacing w:after="160" w:before="0"/>
      </w:pPr>
      <w:r>
        <w:rPr>
          <w:b/>
        </w:rPr>
        <w:t>Material y registro de evidencias</w:t>
      </w:r>
    </w:p>
    <w:p>
      <w:pPr>
        <w:keepLines/>
        <w:spacing w:after="100" w:before="0"/>
      </w:pPr>
      <w:r>
        <w:rPr>
          <w:b w:val="0"/>
          <w:sz w:val="20"/>
        </w:rPr>
        <w:t>Completa estos campos con lo que tengas. Escribe no disponible cuando corresponda; no lo sustituyas por datos supuestos.</w:t>
      </w:r>
    </w:p>
    <w:p>
      <w:pPr>
        <w:keepLines/>
        <w:spacing w:after="0" w:before="0"/>
      </w:pPr>
      <w:r>
        <w:rPr>
          <w:b/>
          <w:sz w:val="19"/>
        </w:rPr>
        <w:t>Modalidad: documental / documental con muestra ya autorizada y saneada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40" w:before="0"/>
      </w:pPr>
      <w:r>
        <w:rPr>
          <w:b w:val="0"/>
          <w:sz w:val="2"/>
        </w:rPr>
      </w:r>
    </w:p>
    <w:p>
      <w:pPr>
        <w:keepLines/>
        <w:spacing w:after="0" w:before="0"/>
      </w:pPr>
      <w:r>
        <w:rPr>
          <w:b/>
          <w:sz w:val="19"/>
        </w:rPr>
        <w:t>Revisión del código, componentes y rutas examinados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40" w:before="0"/>
      </w:pPr>
      <w:r>
        <w:rPr>
          <w:b w:val="0"/>
          <w:sz w:val="2"/>
        </w:rPr>
      </w:r>
    </w:p>
    <w:p>
      <w:pPr>
        <w:keepLines/>
        <w:spacing w:after="0" w:before="0"/>
      </w:pPr>
      <w:r>
        <w:rPr>
          <w:b/>
          <w:sz w:val="19"/>
        </w:rPr>
        <w:t>Identificador, autorización, alcance y saneamiento de muestra adicional, si existe; no copiar contenidos sensibles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40" w:before="0"/>
      </w:pPr>
      <w:r>
        <w:rPr>
          <w:b w:val="0"/>
          <w:sz w:val="2"/>
        </w:rPr>
      </w:r>
    </w:p>
    <w:p>
      <w:pPr>
        <w:keepLines/>
        <w:spacing w:after="0" w:before="0"/>
      </w:pPr>
      <w:r>
        <w:rPr>
          <w:b/>
          <w:sz w:val="19"/>
        </w:rPr>
        <w:t>Documentos de configuración efectiva aportados, limitaciones y aspectos no disponibles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40" w:before="0"/>
      </w:pPr>
      <w:r>
        <w:rPr>
          <w:b w:val="0"/>
          <w:sz w:val="2"/>
        </w:rPr>
      </w:r>
    </w:p>
    <w:p>
      <w:pPr>
        <w:keepLines/>
        <w:spacing w:after="0" w:before="0"/>
      </w:pPr>
      <w:r>
        <w:rPr>
          <w:b/>
          <w:sz w:val="19"/>
        </w:rPr>
        <w:t>Finalidad de observabilidad declarada y criterios de necesidad disponibles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40" w:before="0"/>
      </w:pPr>
      <w:r>
        <w:rPr>
          <w:b w:val="0"/>
          <w:sz w:val="2"/>
        </w:rPr>
      </w:r>
    </w:p>
    <w:p>
      <w:pPr>
        <w:keepLines/>
        <w:spacing w:after="0" w:before="0"/>
      </w:pPr>
      <w:r>
        <w:rPr>
          <w:b/>
          <w:sz w:val="19"/>
        </w:rPr>
        <w:t>Políticas o documentos disponibles sobre acceso, conservación, destinatarios y tratamiento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40" w:before="0"/>
      </w:pPr>
      <w:r>
        <w:rPr>
          <w:b w:val="0"/>
          <w:sz w:val="2"/>
        </w:rPr>
      </w:r>
    </w:p>
    <w:p>
      <w:pPr>
        <w:pStyle w:val="Heading2"/>
        <w:keepLines/>
        <w:spacing w:after="100" w:before="0"/>
      </w:pPr>
      <w:r>
        <w:rPr>
          <w:b/>
        </w:rPr>
        <w:t>Registro de análisis</w:t>
      </w:r>
    </w:p>
    <w:p>
      <w:pPr>
        <w:keepLines/>
        <w:spacing w:after="100" w:before="0"/>
      </w:pPr>
      <w:r>
        <w:rPr>
          <w:b w:val="0"/>
          <w:sz w:val="18"/>
        </w:rPr>
        <w:t>Describe categorías y referencias; no escribas secretos ni valores personales. Deja claro si se trata de un riesgo documental o de una observación de la muestra autorizada.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4"/>
        <w:gridCol w:w="2721"/>
        <w:gridCol w:w="2381"/>
        <w:gridCol w:w="2778"/>
      </w:tblGrid>
      <w:tr>
        <w:trPr>
          <w:cantSplit/>
          <w:tblHeader/>
        </w:trPr>
        <w:tc>
          <w:tcPr>
            <w:tcW w:type="dxa" w:w="1984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shd w:fill="173C5D"/>
          </w:tcPr>
          <w:p>
            <w:pPr>
              <w:spacing w:after="20" w:before="20" w:line="230" w:lineRule="exact"/>
            </w:pPr>
            <w:r>
              <w:rPr>
                <w:b/>
                <w:color w:val="FFFFFF"/>
                <w:sz w:val="17"/>
              </w:rPr>
              <w:t>Categoría / ruta o referencia</w:t>
            </w:r>
          </w:p>
        </w:tc>
        <w:tc>
          <w:tcPr>
            <w:tcW w:type="dxa" w:w="2721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shd w:fill="173C5D"/>
          </w:tcPr>
          <w:p>
            <w:pPr>
              <w:spacing w:after="20" w:before="20" w:line="230" w:lineRule="exact"/>
            </w:pPr>
            <w:r>
              <w:rPr>
                <w:b/>
                <w:color w:val="FFFFFF"/>
                <w:sz w:val="17"/>
              </w:rPr>
              <w:t>Necesidad y finalidad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shd w:fill="173C5D"/>
          </w:tcPr>
          <w:p>
            <w:pPr>
              <w:spacing w:after="20" w:before="20" w:line="230" w:lineRule="exact"/>
            </w:pPr>
            <w:r>
              <w:rPr>
                <w:b/>
                <w:color w:val="FFFFFF"/>
                <w:sz w:val="17"/>
              </w:rPr>
              <w:t>Medida de minimización propuesta</w:t>
            </w:r>
          </w:p>
        </w:tc>
        <w:tc>
          <w:tcPr>
            <w:tcW w:type="dxa" w:w="2778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shd w:fill="173C5D"/>
          </w:tcPr>
          <w:p>
            <w:pPr>
              <w:spacing w:after="20" w:before="20" w:line="230" w:lineRule="exact"/>
            </w:pPr>
            <w:r>
              <w:rPr>
                <w:b/>
                <w:color w:val="FFFFFF"/>
                <w:sz w:val="17"/>
              </w:rPr>
              <w:t>Evidencia de verificación y límite</w:t>
            </w:r>
          </w:p>
        </w:tc>
      </w:tr>
      <w:tr>
        <w:trPr>
          <w:cantSplit/>
          <w:trHeight w:val="737"/>
        </w:trPr>
        <w:tc>
          <w:tcPr>
            <w:tcW w:type="dxa" w:w="1984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30" w:lineRule="exact"/>
            </w:pPr>
            <w:r>
              <w:rPr>
                <w:b w:val="0"/>
                <w:color w:val="000000"/>
                <w:sz w:val="17"/>
              </w:rPr>
            </w:r>
          </w:p>
        </w:tc>
        <w:tc>
          <w:tcPr>
            <w:tcW w:type="dxa" w:w="2721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30" w:lineRule="exact"/>
            </w:pPr>
            <w:r>
              <w:rPr>
                <w:b w:val="0"/>
                <w:color w:val="000000"/>
                <w:sz w:val="17"/>
              </w:rPr>
            </w:r>
          </w:p>
        </w:tc>
        <w:tc>
          <w:tcPr>
            <w:tcW w:type="dxa" w:w="2381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30" w:lineRule="exact"/>
            </w:pPr>
            <w:r>
              <w:rPr>
                <w:b w:val="0"/>
                <w:color w:val="000000"/>
                <w:sz w:val="17"/>
              </w:rPr>
            </w:r>
          </w:p>
        </w:tc>
        <w:tc>
          <w:tcPr>
            <w:tcW w:type="dxa" w:w="2778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30" w:lineRule="exact"/>
            </w:pPr>
            <w:r>
              <w:rPr>
                <w:b w:val="0"/>
                <w:color w:val="000000"/>
                <w:sz w:val="17"/>
              </w:rPr>
            </w:r>
          </w:p>
        </w:tc>
      </w:tr>
      <w:tr>
        <w:trPr>
          <w:cantSplit/>
          <w:trHeight w:val="737"/>
        </w:trPr>
        <w:tc>
          <w:tcPr>
            <w:tcW w:type="dxa" w:w="1984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shd w:fill="F4F7F9"/>
          </w:tcPr>
          <w:p>
            <w:pPr>
              <w:spacing w:after="20" w:before="20" w:line="230" w:lineRule="exact"/>
            </w:pPr>
            <w:r>
              <w:rPr>
                <w:b w:val="0"/>
                <w:color w:val="000000"/>
                <w:sz w:val="17"/>
              </w:rPr>
            </w:r>
          </w:p>
        </w:tc>
        <w:tc>
          <w:tcPr>
            <w:tcW w:type="dxa" w:w="2721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shd w:fill="F4F7F9"/>
          </w:tcPr>
          <w:p>
            <w:pPr>
              <w:spacing w:after="20" w:before="20" w:line="230" w:lineRule="exact"/>
            </w:pPr>
            <w:r>
              <w:rPr>
                <w:b w:val="0"/>
                <w:color w:val="000000"/>
                <w:sz w:val="17"/>
              </w:rPr>
            </w:r>
          </w:p>
        </w:tc>
        <w:tc>
          <w:tcPr>
            <w:tcW w:type="dxa" w:w="2381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shd w:fill="F4F7F9"/>
          </w:tcPr>
          <w:p>
            <w:pPr>
              <w:spacing w:after="20" w:before="20" w:line="230" w:lineRule="exact"/>
            </w:pPr>
            <w:r>
              <w:rPr>
                <w:b w:val="0"/>
                <w:color w:val="000000"/>
                <w:sz w:val="17"/>
              </w:rPr>
            </w:r>
          </w:p>
        </w:tc>
        <w:tc>
          <w:tcPr>
            <w:tcW w:type="dxa" w:w="2778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shd w:fill="F4F7F9"/>
          </w:tcPr>
          <w:p>
            <w:pPr>
              <w:spacing w:after="20" w:before="20" w:line="230" w:lineRule="exact"/>
            </w:pPr>
            <w:r>
              <w:rPr>
                <w:b w:val="0"/>
                <w:color w:val="000000"/>
                <w:sz w:val="17"/>
              </w:rPr>
            </w:r>
          </w:p>
        </w:tc>
      </w:tr>
      <w:tr>
        <w:trPr>
          <w:cantSplit/>
          <w:trHeight w:val="737"/>
        </w:trPr>
        <w:tc>
          <w:tcPr>
            <w:tcW w:type="dxa" w:w="1984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30" w:lineRule="exact"/>
            </w:pPr>
            <w:r>
              <w:rPr>
                <w:b w:val="0"/>
                <w:color w:val="000000"/>
                <w:sz w:val="17"/>
              </w:rPr>
            </w:r>
          </w:p>
        </w:tc>
        <w:tc>
          <w:tcPr>
            <w:tcW w:type="dxa" w:w="2721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30" w:lineRule="exact"/>
            </w:pPr>
            <w:r>
              <w:rPr>
                <w:b w:val="0"/>
                <w:color w:val="000000"/>
                <w:sz w:val="17"/>
              </w:rPr>
            </w:r>
          </w:p>
        </w:tc>
        <w:tc>
          <w:tcPr>
            <w:tcW w:type="dxa" w:w="2381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30" w:lineRule="exact"/>
            </w:pPr>
            <w:r>
              <w:rPr>
                <w:b w:val="0"/>
                <w:color w:val="000000"/>
                <w:sz w:val="17"/>
              </w:rPr>
            </w:r>
          </w:p>
        </w:tc>
        <w:tc>
          <w:tcPr>
            <w:tcW w:type="dxa" w:w="2778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30" w:lineRule="exact"/>
            </w:pPr>
            <w:r>
              <w:rPr>
                <w:b w:val="0"/>
                <w:color w:val="000000"/>
                <w:sz w:val="17"/>
              </w:rPr>
            </w:r>
          </w:p>
        </w:tc>
      </w:tr>
      <w:tr>
        <w:trPr>
          <w:cantSplit/>
          <w:trHeight w:val="737"/>
        </w:trPr>
        <w:tc>
          <w:tcPr>
            <w:tcW w:type="dxa" w:w="1984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shd w:fill="F4F7F9"/>
          </w:tcPr>
          <w:p>
            <w:pPr>
              <w:spacing w:after="20" w:before="20" w:line="230" w:lineRule="exact"/>
            </w:pPr>
            <w:r>
              <w:rPr>
                <w:b w:val="0"/>
                <w:color w:val="000000"/>
                <w:sz w:val="17"/>
              </w:rPr>
            </w:r>
          </w:p>
        </w:tc>
        <w:tc>
          <w:tcPr>
            <w:tcW w:type="dxa" w:w="2721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shd w:fill="F4F7F9"/>
          </w:tcPr>
          <w:p>
            <w:pPr>
              <w:spacing w:after="20" w:before="20" w:line="230" w:lineRule="exact"/>
            </w:pPr>
            <w:r>
              <w:rPr>
                <w:b w:val="0"/>
                <w:color w:val="000000"/>
                <w:sz w:val="17"/>
              </w:rPr>
            </w:r>
          </w:p>
        </w:tc>
        <w:tc>
          <w:tcPr>
            <w:tcW w:type="dxa" w:w="2381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shd w:fill="F4F7F9"/>
          </w:tcPr>
          <w:p>
            <w:pPr>
              <w:spacing w:after="20" w:before="20" w:line="230" w:lineRule="exact"/>
            </w:pPr>
            <w:r>
              <w:rPr>
                <w:b w:val="0"/>
                <w:color w:val="000000"/>
                <w:sz w:val="17"/>
              </w:rPr>
            </w:r>
          </w:p>
        </w:tc>
        <w:tc>
          <w:tcPr>
            <w:tcW w:type="dxa" w:w="2778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shd w:fill="F4F7F9"/>
          </w:tcPr>
          <w:p>
            <w:pPr>
              <w:spacing w:after="20" w:before="20" w:line="230" w:lineRule="exact"/>
            </w:pPr>
            <w:r>
              <w:rPr>
                <w:b w:val="0"/>
                <w:color w:val="000000"/>
                <w:sz w:val="17"/>
              </w:rPr>
            </w:r>
          </w:p>
        </w:tc>
      </w:tr>
    </w:tbl>
    <w:p>
      <w:pPr>
        <w:keepLines/>
        <w:spacing w:after="80" w:before="0"/>
      </w:pPr>
      <w:r>
        <w:rPr>
          <w:b w:val="0"/>
          <w:sz w:val="2"/>
        </w:rPr>
      </w:r>
    </w:p>
    <w:p>
      <w:pPr>
        <w:pStyle w:val="Heading1"/>
        <w:keepLines/>
        <w:pageBreakBefore/>
        <w:spacing w:after="160" w:before="0"/>
      </w:pPr>
      <w:r>
        <w:rPr>
          <w:b/>
        </w:rPr>
        <w:t>Analiza el funcionamiento y sus efectos</w:t>
      </w:r>
    </w:p>
    <w:p>
      <w:pPr>
        <w:pStyle w:val="Heading2"/>
        <w:keepLines/>
        <w:spacing w:after="100" w:before="0"/>
      </w:pPr>
      <w:r>
        <w:rPr>
          <w:b/>
        </w:rPr>
        <w:t>Pregunta 1</w:t>
      </w:r>
    </w:p>
    <w:p>
      <w:pPr>
        <w:keepLines/>
        <w:spacing w:after="60" w:before="0"/>
      </w:pPr>
      <w:r>
        <w:rPr>
          <w:b w:val="0"/>
          <w:sz w:val="21"/>
        </w:rPr>
        <w:t>¿Qué categorías de datos pueden entrar en los atributos y mensajes según el código, para qué finalidad se justificarían y cuáles son realmente observables en el material disponible? Distingue capacidad de captura y captura acreditada.</w:t>
      </w:r>
    </w:p>
    <w:p>
      <w:pPr>
        <w:keepLines/>
        <w:spacing w:after="100" w:before="0"/>
      </w:pPr>
      <w:r>
        <w:rPr>
          <w:b w:val="0"/>
          <w:sz w:val="17"/>
        </w:rPr>
        <w:t>Consulta A3-F1, A3-F2, A3-F6</w:t>
      </w:r>
    </w:p>
    <w:p>
      <w:pPr>
        <w:keepLines/>
        <w:spacing w:after="0" w:before="0"/>
      </w:pPr>
      <w:r>
        <w:rPr>
          <w:b/>
          <w:sz w:val="18"/>
        </w:rPr>
        <w:t>Respuesta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200" w:before="0"/>
      </w:pPr>
      <w:r>
        <w:rPr>
          <w:b w:val="0"/>
          <w:sz w:val="17"/>
        </w:rPr>
        <w:t>Evidencia o referencia ____________________________________________________</w:t>
      </w:r>
    </w:p>
    <w:p>
      <w:pPr>
        <w:pStyle w:val="Heading2"/>
        <w:keepLines/>
        <w:spacing w:after="100" w:before="0"/>
      </w:pPr>
      <w:r>
        <w:rPr>
          <w:b/>
        </w:rPr>
        <w:t>Pregunta 2</w:t>
      </w:r>
    </w:p>
    <w:p>
      <w:pPr>
        <w:keepLines/>
        <w:spacing w:after="60" w:before="0"/>
      </w:pPr>
      <w:r>
        <w:rPr>
          <w:b w:val="0"/>
          <w:sz w:val="21"/>
        </w:rPr>
        <w:t>¿Por qué rutas podría llegar a una traza el valor de una variable, un dato personal o una credencial si apareciera en mensajes o resultados? Señala la ruta y el límite de la evidencia sin buscar ni reproducir valores.</w:t>
      </w:r>
    </w:p>
    <w:p>
      <w:pPr>
        <w:keepLines/>
        <w:spacing w:after="100" w:before="0"/>
      </w:pPr>
      <w:r>
        <w:rPr>
          <w:b w:val="0"/>
          <w:sz w:val="17"/>
        </w:rPr>
        <w:t>Consulta A3-F2, A3-F3</w:t>
      </w:r>
    </w:p>
    <w:p>
      <w:pPr>
        <w:keepLines/>
        <w:spacing w:after="0" w:before="0"/>
      </w:pPr>
      <w:r>
        <w:rPr>
          <w:b/>
          <w:sz w:val="18"/>
        </w:rPr>
        <w:t>Respuesta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200" w:before="0"/>
      </w:pPr>
      <w:r>
        <w:rPr>
          <w:b w:val="0"/>
          <w:sz w:val="17"/>
        </w:rPr>
        <w:t>Evidencia o referencia ____________________________________________________</w:t>
      </w:r>
    </w:p>
    <w:p>
      <w:pPr>
        <w:pStyle w:val="Heading2"/>
        <w:keepLines/>
        <w:spacing w:after="100" w:before="0"/>
      </w:pPr>
      <w:r>
        <w:rPr>
          <w:b/>
        </w:rPr>
        <w:t>Pregunta 3</w:t>
      </w:r>
    </w:p>
    <w:p>
      <w:pPr>
        <w:keepLines/>
        <w:spacing w:after="60" w:before="0"/>
      </w:pPr>
      <w:r>
        <w:rPr>
          <w:b w:val="0"/>
          <w:sz w:val="21"/>
        </w:rPr>
        <w:t>¿Qué datos excluye el código del registro de trazas? ¿Esa exclusión cubre también todos los mensajes y resultados de herramientas? Explica su alcance y lo que falta comprobar en las fuentes indicadas.</w:t>
      </w:r>
    </w:p>
    <w:p>
      <w:pPr>
        <w:keepLines/>
        <w:spacing w:after="100" w:before="0"/>
      </w:pPr>
      <w:r>
        <w:rPr>
          <w:b w:val="0"/>
          <w:sz w:val="17"/>
        </w:rPr>
        <w:t>Consulta A3-F2, A3-F3</w:t>
      </w:r>
    </w:p>
    <w:p>
      <w:pPr>
        <w:keepLines/>
        <w:spacing w:after="0" w:before="0"/>
      </w:pPr>
      <w:r>
        <w:rPr>
          <w:b/>
          <w:sz w:val="18"/>
        </w:rPr>
        <w:t>Respuesta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200" w:before="0"/>
      </w:pPr>
      <w:r>
        <w:rPr>
          <w:b w:val="0"/>
          <w:sz w:val="17"/>
        </w:rPr>
        <w:t>Evidencia o referencia ____________________________________________________</w:t>
      </w:r>
    </w:p>
    <w:p>
      <w:pPr>
        <w:pStyle w:val="Heading1"/>
        <w:keepLines/>
        <w:pageBreakBefore/>
        <w:spacing w:after="160" w:before="0"/>
      </w:pPr>
      <w:r>
        <w:rPr>
          <w:b/>
        </w:rPr>
        <w:t>Fundamenta las condiciones y la decisión</w:t>
      </w:r>
    </w:p>
    <w:p>
      <w:pPr>
        <w:pStyle w:val="Heading2"/>
        <w:keepLines/>
        <w:spacing w:after="100" w:before="0"/>
      </w:pPr>
      <w:r>
        <w:rPr>
          <w:b/>
        </w:rPr>
        <w:t>Pregunta 4</w:t>
      </w:r>
    </w:p>
    <w:p>
      <w:pPr>
        <w:keepLines/>
        <w:spacing w:after="60" w:before="0"/>
      </w:pPr>
      <w:r>
        <w:rPr>
          <w:b w:val="0"/>
          <w:sz w:val="21"/>
        </w:rPr>
        <w:t>¿Qué sabes del destino OTLP y de los controles de acceso, conservación y destinatarios? Separa lo establecido por el código, lo recomendado por la guía y lo acreditado en una implantación concreta.</w:t>
      </w:r>
    </w:p>
    <w:p>
      <w:pPr>
        <w:keepLines/>
        <w:spacing w:after="100" w:before="0"/>
      </w:pPr>
      <w:r>
        <w:rPr>
          <w:b w:val="0"/>
          <w:sz w:val="17"/>
        </w:rPr>
        <w:t>Consulta A3-F4, A3-F5, A3-F6</w:t>
      </w:r>
    </w:p>
    <w:p>
      <w:pPr>
        <w:keepLines/>
        <w:spacing w:after="0" w:before="0"/>
      </w:pPr>
      <w:r>
        <w:rPr>
          <w:b/>
          <w:sz w:val="18"/>
        </w:rPr>
        <w:t>Respuesta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200" w:before="0"/>
      </w:pPr>
      <w:r>
        <w:rPr>
          <w:b w:val="0"/>
          <w:sz w:val="17"/>
        </w:rPr>
        <w:t>Evidencia o referencia ____________________________________________________</w:t>
      </w:r>
    </w:p>
    <w:p>
      <w:pPr>
        <w:pStyle w:val="Heading2"/>
        <w:keepLines/>
        <w:spacing w:after="100" w:before="0"/>
      </w:pPr>
      <w:r>
        <w:rPr>
          <w:b/>
        </w:rPr>
        <w:t>Pregunta 5</w:t>
      </w:r>
    </w:p>
    <w:p>
      <w:pPr>
        <w:keepLines/>
        <w:spacing w:after="60" w:before="0"/>
      </w:pPr>
      <w:r>
        <w:rPr>
          <w:b w:val="0"/>
          <w:sz w:val="21"/>
        </w:rPr>
        <w:t>¿Qué campos conservarías, transformarías o excluirías para cumplir la finalidad con los datos necesarios? Justifica cada propuesta y cómo verificarías su eficacia mediante revisión documental o una prueba futura autorizada con datos sintéticos.</w:t>
      </w:r>
    </w:p>
    <w:p>
      <w:pPr>
        <w:keepLines/>
        <w:spacing w:after="100" w:before="0"/>
      </w:pPr>
      <w:r>
        <w:rPr>
          <w:b w:val="0"/>
          <w:sz w:val="17"/>
        </w:rPr>
        <w:t>Consulta A3-F1, A3-F2, A3-F3, A3-F5</w:t>
      </w:r>
    </w:p>
    <w:p>
      <w:pPr>
        <w:keepLines/>
        <w:spacing w:after="0" w:before="0"/>
      </w:pPr>
      <w:r>
        <w:rPr>
          <w:b/>
          <w:sz w:val="18"/>
        </w:rPr>
        <w:t>Respuesta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200" w:before="0"/>
      </w:pPr>
      <w:r>
        <w:rPr>
          <w:b w:val="0"/>
          <w:sz w:val="17"/>
        </w:rPr>
        <w:t>Evidencia o referencia ____________________________________________________</w:t>
      </w:r>
    </w:p>
    <w:p>
      <w:pPr>
        <w:pStyle w:val="Heading2"/>
        <w:keepLines/>
        <w:spacing w:after="100" w:before="0"/>
      </w:pPr>
      <w:r>
        <w:rPr>
          <w:b/>
        </w:rPr>
        <w:t>Pregunta 6</w:t>
      </w:r>
    </w:p>
    <w:p>
      <w:pPr>
        <w:keepLines/>
        <w:spacing w:after="60" w:before="0"/>
      </w:pPr>
      <w:r>
        <w:rPr>
          <w:b w:val="0"/>
          <w:sz w:val="21"/>
        </w:rPr>
        <w:t>¿Qué dictamen permite tu alcance y qué información falta para ampliarlo? Indica una medida proporcional y su evidencia de cierre; si la muestra autorizada aportara un indicio, registra solo su referencia y el cauce organizativo de evaluación.</w:t>
      </w:r>
    </w:p>
    <w:p>
      <w:pPr>
        <w:keepLines/>
        <w:spacing w:after="100" w:before="0"/>
      </w:pPr>
      <w:r>
        <w:rPr>
          <w:b w:val="0"/>
          <w:sz w:val="17"/>
        </w:rPr>
        <w:t>Consulta A3-F1, A3-F2, A3-F3, A3-F4, A3-F5, A3-F6</w:t>
      </w:r>
    </w:p>
    <w:p>
      <w:pPr>
        <w:keepLines/>
        <w:spacing w:after="0" w:before="0"/>
      </w:pPr>
      <w:r>
        <w:rPr>
          <w:b/>
          <w:sz w:val="18"/>
        </w:rPr>
        <w:t>Respuesta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200" w:before="0"/>
      </w:pPr>
      <w:r>
        <w:rPr>
          <w:b w:val="0"/>
          <w:sz w:val="17"/>
        </w:rPr>
        <w:t>Evidencia o referencia ____________________________________________________</w:t>
      </w:r>
    </w:p>
    <w:p>
      <w:pPr>
        <w:pStyle w:val="Heading1"/>
        <w:keepLines/>
        <w:pageBreakBefore/>
        <w:spacing w:after="160" w:before="0"/>
      </w:pPr>
      <w:r>
        <w:rPr>
          <w:b/>
        </w:rPr>
        <w:t>Dictamen y comprobación del cierre</w:t>
      </w:r>
    </w:p>
    <w:p>
      <w:pPr>
        <w:keepLines/>
        <w:spacing w:after="100" w:before="0"/>
      </w:pPr>
      <w:r>
        <w:rPr>
          <w:b w:val="0"/>
          <w:sz w:val="19"/>
        </w:rPr>
        <w:t>Marca una opción respecto del alcance declarado. Ninguna opción está seleccionada; ninguna implica por sí sola conformidad global ni fuga confirmada.</w:t>
      </w:r>
    </w:p>
    <w:p>
      <w:pPr>
        <w:keepLines/>
        <w:spacing w:after="100" w:before="0"/>
      </w:pPr>
      <w:r>
        <w:rPr>
          <w:b w:val="0"/>
          <w:sz w:val="19"/>
        </w:rPr>
        <w:t>[  ] Criterio de minimización suficientemente sustentado en el alcance y evidencias delimitados.</w:t>
      </w:r>
    </w:p>
    <w:p>
      <w:pPr>
        <w:keepLines/>
        <w:spacing w:after="100" w:before="0"/>
      </w:pPr>
      <w:r>
        <w:rPr>
          <w:b w:val="0"/>
          <w:sz w:val="19"/>
        </w:rPr>
        <w:t>[  ] Requiere medidas o evidencias adicionales antes de considerar satisfecho el criterio de minimización.</w:t>
      </w:r>
    </w:p>
    <w:p>
      <w:pPr>
        <w:keepLines/>
        <w:spacing w:after="100" w:before="0"/>
      </w:pPr>
      <w:r>
        <w:rPr>
          <w:b w:val="0"/>
          <w:sz w:val="19"/>
        </w:rPr>
        <w:t>[  ] La muestra autorizada justifica remitir un indicio referenciado a evaluación por el procedimiento organizativo.</w:t>
      </w:r>
    </w:p>
    <w:p>
      <w:pPr>
        <w:keepLines/>
        <w:spacing w:after="100" w:before="0"/>
      </w:pPr>
      <w:r>
        <w:rPr>
          <w:b w:val="0"/>
          <w:sz w:val="19"/>
        </w:rPr>
        <w:t>[  ] Información insuficiente para emitir un dictamen sobre la minimización efectiva en una implantación.</w:t>
      </w:r>
    </w:p>
    <w:p>
      <w:pPr>
        <w:pStyle w:val="Heading2"/>
        <w:keepLines/>
        <w:spacing w:after="100" w:before="0"/>
      </w:pPr>
      <w:r>
        <w:rPr>
          <w:b/>
        </w:rPr>
        <w:t>Justificación y evidencia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200" w:before="0"/>
      </w:pPr>
      <w:r>
        <w:rPr>
          <w:b w:val="0"/>
          <w:sz w:val="18"/>
        </w:rPr>
        <w:t>Criterio aplicable _________________________________________________________</w:t>
      </w:r>
    </w:p>
    <w:p>
      <w:pPr>
        <w:pStyle w:val="Heading2"/>
        <w:keepLines/>
        <w:spacing w:after="100" w:before="0"/>
      </w:pPr>
      <w:r>
        <w:rPr>
          <w:b/>
        </w:rPr>
        <w:t>Qué falta y cómo se comprobará</w:t>
      </w:r>
    </w:p>
    <w:p>
      <w:pPr>
        <w:keepLines/>
        <w:spacing w:after="0" w:before="0"/>
      </w:pPr>
      <w:r>
        <w:rPr>
          <w:b/>
          <w:sz w:val="19"/>
        </w:rPr>
        <w:t>Medida propuesta y prioridad justificada por la evidencia disponible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40" w:before="0"/>
      </w:pPr>
      <w:r>
        <w:rPr>
          <w:b w:val="0"/>
          <w:sz w:val="2"/>
        </w:rPr>
      </w:r>
    </w:p>
    <w:p>
      <w:pPr>
        <w:keepLines/>
        <w:spacing w:after="0" w:before="0"/>
      </w:pPr>
      <w:r>
        <w:rPr>
          <w:b/>
          <w:sz w:val="19"/>
        </w:rPr>
        <w:t>Rol responsable de la minimización, configuración o evaluación del indicio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40" w:before="0"/>
      </w:pPr>
      <w:r>
        <w:rPr>
          <w:b w:val="0"/>
          <w:sz w:val="2"/>
        </w:rPr>
      </w:r>
    </w:p>
    <w:p>
      <w:pPr>
        <w:keepLines/>
        <w:spacing w:after="0" w:before="0"/>
      </w:pPr>
      <w:r>
        <w:rPr>
          <w:b/>
          <w:sz w:val="19"/>
        </w:rPr>
        <w:t>Comprobación segura de eficacia y evidencia esperada; sin solicitar ni usar secretos reales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40" w:before="0"/>
      </w:pPr>
      <w:r>
        <w:rPr>
          <w:b w:val="0"/>
          <w:sz w:val="2"/>
        </w:rPr>
      </w:r>
    </w:p>
    <w:p>
      <w:pPr>
        <w:keepLines/>
        <w:spacing w:after="0" w:before="0"/>
      </w:pPr>
      <w:r>
        <w:rPr>
          <w:b/>
          <w:sz w:val="19"/>
        </w:rPr>
        <w:t>Límite del dictamen y condiciones para ampliarlo o reconsiderarlo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40" w:before="0"/>
      </w:pPr>
      <w:r>
        <w:rPr>
          <w:b w:val="0"/>
          <w:sz w:val="2"/>
        </w:rPr>
      </w:r>
    </w:p>
    <w:p>
      <w:pPr>
        <w:keepLines/>
        <w:spacing w:after="0" w:before="0"/>
      </w:pPr>
      <w:r>
        <w:rPr>
          <w:b/>
          <w:sz w:val="19"/>
        </w:rPr>
        <w:t>Referencia normativa solo si aplica: documento, edición, apartado y vínculo con la decisión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40" w:before="0"/>
      </w:pPr>
      <w:r>
        <w:rPr>
          <w:b w:val="0"/>
          <w:sz w:val="2"/>
        </w:rPr>
      </w:r>
    </w:p>
    <w:p>
      <w:pPr>
        <w:pStyle w:val="Heading2"/>
        <w:keepLines/>
        <w:spacing w:after="100" w:before="0"/>
      </w:pPr>
      <w:r>
        <w:rPr>
          <w:b/>
        </w:rPr>
        <w:t>Antes de entregar</w:t>
      </w:r>
    </w:p>
    <w:p>
      <w:pPr>
        <w:keepLines/>
        <w:spacing w:after="100" w:before="0"/>
      </w:pPr>
      <w:r>
        <w:rPr>
          <w:b w:val="0"/>
          <w:sz w:val="18"/>
        </w:rPr>
        <w:t>Comprueba que has separado capacidad técnica, criterio organizativo y evidencia. Explica las incertidumbres y justifica la medida que propones.</w:t>
      </w:r>
    </w:p>
    <w:p>
      <w:pPr>
        <w:keepLines/>
        <w:spacing w:after="100" w:before="0"/>
      </w:pPr>
      <w:r>
        <w:rPr>
          <w:b w:val="0"/>
          <w:sz w:val="17"/>
        </w:rPr>
        <w:t>Nivel que justifica mi respuesta según la rúbrica del curso ______   Evidencia que debo mejorar 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020" w:bottom="935" w:left="1020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José Manuel Hernández Agudo  |  A3  |  Página </w:t>
    </w:r>
    <w:fldSimple w:instr="PAGE">
      <w:r>
        <w:t>1</w:t>
      </w:r>
    </w:fldSimple>
    <w:r>
      <w:t xml:space="preserve"> de </w:t>
    </w:r>
    <w:fldSimple w:instr="NUMPAGES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Fundamentos del SGIA e ISO/IEC 42001  |  Monográfico 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spacing w:line="284" w:lineRule="exact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keepNext w:val="0"/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keepNext w:val="0"/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github.com/InditexTech/kumoss/blob/21eb7866ac995f6d6f3159f2ea342e472893638c/core/src/infrastructure/telemetry/phoenix/phoenix_tracer.py#L68" TargetMode="External"/><Relationship Id="rId12" Type="http://schemas.openxmlformats.org/officeDocument/2006/relationships/hyperlink" Target="https://github.com/InditexTech/kumoss/blob/21eb7866ac995f6d6f3159f2ea342e472893638c/core/src/infrastructure/telemetry/phoenix/phoenix_tracer.py#L403" TargetMode="External"/><Relationship Id="rId13" Type="http://schemas.openxmlformats.org/officeDocument/2006/relationships/hyperlink" Target="https://github.com/InditexTech/kumoss/blob/21eb7866ac995f6d6f3159f2ea342e472893638c/core/src/infrastructure/telemetry/phoenix/phoenix_tracer.py#L231" TargetMode="External"/><Relationship Id="rId14" Type="http://schemas.openxmlformats.org/officeDocument/2006/relationships/hyperlink" Target="https://github.com/InditexTech/kumoss/blob/21eb7866ac995f6d6f3159f2ea342e472893638c/core/src/infrastructure/telemetry/_initializer.py#L61" TargetMode="External"/><Relationship Id="rId15" Type="http://schemas.openxmlformats.org/officeDocument/2006/relationships/hyperlink" Target="https://github.com/InditexTech/kumoss/blob/21eb7866ac995f6d6f3159f2ea342e472893638c/docs/src/modules/main/pages/guides/production/hardening.adoc#L69" TargetMode="External"/><Relationship Id="rId16" Type="http://schemas.openxmlformats.org/officeDocument/2006/relationships/hyperlink" Target="https://github.com/InditexTech/kumoss/blob/21eb7866ac995f6d6f3159f2ea342e472893638c/docs/src/modules/main/pages/guides/production/operations.adoc#L5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Auditoría de minimización de datos en trazas de Phoenix y OpenTelemetry</dc:title>
  <dc:subject>Monográfico 4 Kumoss Actividades y correspondencia funcional</dc:subject>
  <dc:creator>José Manuel Hernández Agudo</dc:creator>
  <cp:keywords>Kumoss, SGIA, ISO 42001, GitOps, automerge, drift, Phoenix, OpenTelemetry, evidencia, gobierno de IA</cp:keywords>
  <dc:description>generated by python-docx</dc:description>
  <cp:lastModifiedBy>José Manuel Hernández Agudo</cp:lastModifiedBy>
  <cp:revision>1</cp:revision>
  <dcterms:created xsi:type="dcterms:W3CDTF">2026-10-29T00:00:00Z</dcterms:created>
  <dcterms:modified xsi:type="dcterms:W3CDTF">2026-10-29T00:00:00Z</dcterms:modified>
  <cp:category/>
</cp:coreProperties>
</file>