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  <w:keepLines/>
        <w:spacing w:after="100" w:before="0"/>
      </w:pPr>
      <w:r>
        <w:rPr>
          <w:b w:val="0"/>
        </w:rPr>
        <w:t>Actividad 1 del alumno</w:t>
      </w:r>
    </w:p>
    <w:p>
      <w:pPr>
        <w:pStyle w:val="Title"/>
        <w:keepLines/>
        <w:spacing w:after="100" w:before="0"/>
      </w:pPr>
      <w:r>
        <w:rPr>
          <w:b/>
        </w:rPr>
        <w:t>Análisis de elegibilidad para automerge en GitOps</w:t>
      </w:r>
    </w:p>
    <w:p>
      <w:pPr>
        <w:keepLines/>
        <w:spacing w:after="100" w:before="0"/>
      </w:pPr>
      <w:r>
        <w:rPr>
          <w:b w:val="0"/>
        </w:rPr>
        <w:t>Distinguir un cambio HCL aparentemente trivial de otro con efectos de seguridad, IAM o costes, y fundamentar si una política organizativa puede delegar su aprobación e integración.</w:t>
      </w:r>
    </w:p>
    <w:p>
      <w:pPr>
        <w:pStyle w:val="Heading2"/>
        <w:keepLines/>
        <w:spacing w:after="100" w:before="0"/>
      </w:pPr>
      <w:r>
        <w:rPr>
          <w:b/>
        </w:rPr>
        <w:t>Qué necesitas saber</w:t>
      </w:r>
    </w:p>
    <w:p>
      <w:pPr>
        <w:keepLines/>
        <w:spacing w:after="100" w:before="0"/>
      </w:pPr>
      <w:r>
        <w:rPr>
          <w:b w:val="0"/>
          <w:sz w:val="20"/>
        </w:rPr>
        <w:t>GitOps gestiona cambios mediante código versionado. Automerge integra código automáticamente. IAM se refiere a identidades y permisos. El tamaño de un cambio y su impacto son cuestiones que debes analizar por separado.</w:t>
      </w:r>
    </w:p>
    <w:p>
      <w:pPr>
        <w:keepLines/>
        <w:spacing w:after="100" w:before="0"/>
      </w:pPr>
      <w:r>
        <w:rPr>
          <w:b w:val="0"/>
          <w:sz w:val="19"/>
        </w:rPr>
        <w:t>En la revisión disponible no se acredita un mecanismo nativo de automerge basado en una política de riesgo. La ficha estudia una posible autorización delegada externa a Kumoss. Merge en Git y apply sobre infraestructura son decisiones y efectos diferentes.</w:t>
      </w:r>
    </w:p>
    <w:p>
      <w:pPr>
        <w:pStyle w:val="Heading2"/>
        <w:keepLines/>
        <w:spacing w:after="100" w:before="0"/>
      </w:pPr>
      <w:r>
        <w:rPr>
          <w:b/>
        </w:rPr>
        <w:t>Cómo completar la ficha</w:t>
      </w:r>
    </w:p>
    <w:p>
      <w:pPr>
        <w:keepLines/>
        <w:spacing w:after="80" w:before="0"/>
      </w:pPr>
      <w:r>
        <w:rPr>
          <w:b w:val="0"/>
          <w:sz w:val="19"/>
        </w:rPr>
        <w:t>1. Lee las fuentes A1-F1 a A1-F6. Registra si trabajas solo con documentación o también con un diff autorizado; identifica la revisión exacta y el ámbito de tu decisión.</w:t>
      </w:r>
    </w:p>
    <w:p>
      <w:pPr>
        <w:keepLines/>
        <w:spacing w:after="80" w:before="0"/>
      </w:pPr>
      <w:r>
        <w:rPr>
          <w:b w:val="0"/>
          <w:sz w:val="19"/>
        </w:rPr>
        <w:t>2. Responde las seis preguntas con evidencias. Si falta el diff, el plan o la política de delegación, describe qué no puedes concluir y qué documento permitiría resolverlo.</w:t>
      </w:r>
    </w:p>
    <w:p>
      <w:pPr>
        <w:keepLines/>
        <w:spacing w:after="80" w:before="0"/>
      </w:pPr>
      <w:r>
        <w:rPr>
          <w:b w:val="0"/>
          <w:sz w:val="19"/>
        </w:rPr>
        <w:t>3. Selecciona un dictamen y redacta las condiciones y la comprobación de cierre. La ficha no ejecuta merge, apply ni cambios de configuración.</w:t>
      </w:r>
    </w:p>
    <w:p>
      <w:pPr>
        <w:keepLines/>
        <w:spacing w:after="100" w:before="0"/>
      </w:pPr>
      <w:r>
        <w:rPr>
          <w:b w:val="0"/>
          <w:sz w:val="18"/>
        </w:rPr>
        <w:t>Trabaja con las fuentes enlazadas. Si no hay material de una ejecución, registra el límite de evidencia. La actividad no requiere ejecutar comandos ni acceder a una nube o a trazas reales.</w:t>
      </w:r>
    </w:p>
    <w:p>
      <w:pPr>
        <w:keepLines/>
        <w:spacing w:after="200" w:before="0"/>
      </w:pPr>
      <w:r>
        <w:rPr>
          <w:b w:val="0"/>
          <w:sz w:val="20"/>
        </w:rPr>
        <w:t>Alumno o equipo __________________________________   Fecha ______________</w:t>
      </w:r>
    </w:p>
    <w:p>
      <w:pPr>
        <w:pStyle w:val="Heading2"/>
        <w:keepLines/>
        <w:spacing w:after="100" w:before="0"/>
      </w:pPr>
      <w:r>
        <w:rPr>
          <w:b/>
        </w:rPr>
        <w:t>Fuentes para consultar</w:t>
      </w:r>
    </w:p>
    <w:p>
      <w:pPr>
        <w:keepLines/>
        <w:spacing w:after="60"/>
      </w:pPr>
      <w:hyperlink r:id="rId11">
        <w:r>
          <w:rPr>
            <w:color w:val="17645F"/>
            <w:sz w:val="17"/>
          </w:rPr>
          <w:t>A1-F1  main.tf  líneas 5-12</w:t>
        </w:r>
      </w:hyperlink>
    </w:p>
    <w:p>
      <w:pPr>
        <w:keepLines/>
        <w:spacing w:after="60"/>
      </w:pPr>
      <w:hyperlink r:id="rId12">
        <w:r>
          <w:rPr>
            <w:color w:val="17645F"/>
            <w:sz w:val="17"/>
          </w:rPr>
          <w:t>A1-F2  repository.py  líneas 25-58</w:t>
        </w:r>
      </w:hyperlink>
    </w:p>
    <w:p>
      <w:pPr>
        <w:keepLines/>
        <w:spacing w:after="60"/>
      </w:pPr>
      <w:hyperlink r:id="rId13">
        <w:r>
          <w:rPr>
            <w:color w:val="17645F"/>
            <w:sz w:val="17"/>
          </w:rPr>
          <w:t>A1-F3  terraform_crud_handler.py  líneas 123-158</w:t>
        </w:r>
      </w:hyperlink>
    </w:p>
    <w:p>
      <w:pPr>
        <w:keepLines/>
        <w:spacing w:after="60"/>
      </w:pPr>
      <w:hyperlink r:id="rId14">
        <w:r>
          <w:rPr>
            <w:color w:val="17645F"/>
            <w:sz w:val="17"/>
          </w:rPr>
          <w:t>A1-F4  report_generator.jinja  líneas 45-52</w:t>
        </w:r>
      </w:hyperlink>
    </w:p>
    <w:p>
      <w:pPr>
        <w:keepLines/>
        <w:spacing w:after="60"/>
      </w:pPr>
      <w:hyperlink r:id="rId15">
        <w:r>
          <w:rPr>
            <w:color w:val="17645F"/>
            <w:sz w:val="17"/>
          </w:rPr>
          <w:t>A1-F5  hardening.adoc  líneas 69-94</w:t>
        </w:r>
      </w:hyperlink>
    </w:p>
    <w:p>
      <w:pPr>
        <w:keepLines/>
        <w:spacing w:after="60"/>
      </w:pPr>
      <w:hyperlink r:id="rId16">
        <w:r>
          <w:rPr>
            <w:color w:val="17645F"/>
            <w:sz w:val="17"/>
          </w:rPr>
          <w:t>A1-F6  terraform_apply_handler.py  líneas 52-89</w:t>
        </w:r>
      </w:hyperlink>
    </w:p>
    <w:p>
      <w:pPr>
        <w:keepLines/>
        <w:spacing w:after="0" w:before="0"/>
      </w:pPr>
      <w:r>
        <w:rPr>
          <w:b w:val="0"/>
          <w:sz w:val="16"/>
        </w:rPr>
        <w:t>Código de referencia 21eb7866ac995f6d6f3159f2ea342e472893638c</w:t>
      </w:r>
    </w:p>
    <w:p>
      <w:pPr>
        <w:pStyle w:val="Heading1"/>
        <w:keepLines/>
        <w:pageBreakBefore/>
        <w:spacing w:after="160" w:before="0"/>
      </w:pPr>
      <w:r>
        <w:rPr>
          <w:b/>
        </w:rPr>
        <w:t>Material y registro de evidencias</w:t>
      </w:r>
    </w:p>
    <w:p>
      <w:pPr>
        <w:keepLines/>
        <w:spacing w:after="100" w:before="0"/>
      </w:pPr>
      <w:r>
        <w:rPr>
          <w:b w:val="0"/>
          <w:sz w:val="20"/>
        </w:rPr>
        <w:t>Completa estos campos con lo que tengas. Escribe no disponible cuando corresponda; no lo sustituyas por datos supuestos.</w:t>
      </w:r>
    </w:p>
    <w:p>
      <w:pPr>
        <w:keepLines/>
        <w:spacing w:after="0" w:before="0"/>
      </w:pPr>
      <w:r>
        <w:rPr>
          <w:b/>
          <w:sz w:val="19"/>
        </w:rPr>
        <w:t>Modalidad y material utilizado: documentación / diff autorizado adicional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Repositorio, commit, PR/diff y revisión exacta examinados; si no existe diff, indicarlo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Archivos, recursos o ámbito incluidos y excluidos de la revisión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Referencias de plan, validaciones, informe y comprobaciones disponibles; indicar ausencias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Política de delegación y autoridad competente: identificador, vigencia y alcance; si no se aporta, indicarlo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Configuración efectiva y protecciones Git acreditadas; si no se aportan, indicarlo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pStyle w:val="Heading2"/>
        <w:keepLines/>
        <w:spacing w:after="100" w:before="0"/>
      </w:pPr>
      <w:r>
        <w:rPr>
          <w:b/>
        </w:rPr>
        <w:t>Registro de análisis</w:t>
      </w:r>
    </w:p>
    <w:p>
      <w:pPr>
        <w:keepLines/>
        <w:spacing w:after="100" w:before="0"/>
      </w:pPr>
      <w:r>
        <w:rPr>
          <w:b w:val="0"/>
          <w:sz w:val="18"/>
        </w:rPr>
        <w:t>Clasifica cada dimensión: efecto comprobado, ausencia de efecto comprobada o información insuficiente. La falta de datos no demuestra ausencia de impacto.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2721"/>
        <w:gridCol w:w="2381"/>
        <w:gridCol w:w="2778"/>
      </w:tblGrid>
      <w:tr>
        <w:trPr>
          <w:cantSplit/>
          <w:tblHeader/>
        </w:trPr>
        <w:tc>
          <w:tcPr>
            <w:tcW w:type="dxa" w:w="19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173C5D"/>
          </w:tcPr>
          <w:p>
            <w:pPr>
              <w:spacing w:after="20" w:before="20" w:line="230" w:lineRule="exact"/>
            </w:pPr>
            <w:r>
              <w:rPr>
                <w:b/>
                <w:color w:val="FFFFFF"/>
                <w:sz w:val="17"/>
              </w:rPr>
              <w:t>Dimensión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173C5D"/>
          </w:tcPr>
          <w:p>
            <w:pPr>
              <w:spacing w:after="20" w:before="20" w:line="230" w:lineRule="exact"/>
            </w:pPr>
            <w:r>
              <w:rPr>
                <w:b/>
                <w:color w:val="FFFFFF"/>
                <w:sz w:val="17"/>
              </w:rPr>
              <w:t>Efecto y grado de certeza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173C5D"/>
          </w:tcPr>
          <w:p>
            <w:pPr>
              <w:spacing w:after="20" w:before="20" w:line="230" w:lineRule="exact"/>
            </w:pPr>
            <w:r>
              <w:rPr>
                <w:b/>
                <w:color w:val="FFFFFF"/>
                <w:sz w:val="17"/>
              </w:rPr>
              <w:t>Evidencia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173C5D"/>
          </w:tcPr>
          <w:p>
            <w:pPr>
              <w:spacing w:after="20" w:before="20" w:line="230" w:lineRule="exact"/>
            </w:pPr>
            <w:r>
              <w:rPr>
                <w:b/>
                <w:color w:val="FFFFFF"/>
                <w:sz w:val="17"/>
              </w:rPr>
              <w:t>Condición o revisión requerida</w:t>
            </w:r>
          </w:p>
        </w:tc>
      </w:tr>
      <w:tr>
        <w:trPr>
          <w:cantSplit/>
          <w:trHeight w:val="737"/>
        </w:trPr>
        <w:tc>
          <w:tcPr>
            <w:tcW w:type="dxa" w:w="19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  <w:t>HCL y efecto funcional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38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77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</w:tr>
      <w:tr>
        <w:trPr>
          <w:cantSplit/>
          <w:trHeight w:val="737"/>
        </w:trPr>
        <w:tc>
          <w:tcPr>
            <w:tcW w:type="dxa" w:w="19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  <w:t>Seguridad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38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77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</w:tr>
      <w:tr>
        <w:trPr>
          <w:cantSplit/>
          <w:trHeight w:val="737"/>
        </w:trPr>
        <w:tc>
          <w:tcPr>
            <w:tcW w:type="dxa" w:w="19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  <w:t>IAM y permisos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38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77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FFFFF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</w:tr>
      <w:tr>
        <w:trPr>
          <w:cantSplit/>
          <w:trHeight w:val="737"/>
        </w:trPr>
        <w:tc>
          <w:tcPr>
            <w:tcW w:type="dxa" w:w="1984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  <w:t>Costes fijos y variables</w:t>
            </w:r>
          </w:p>
        </w:tc>
        <w:tc>
          <w:tcPr>
            <w:tcW w:type="dxa" w:w="272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381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  <w:tc>
          <w:tcPr>
            <w:tcW w:type="dxa" w:w="2778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shd w:fill="F4F7F9"/>
          </w:tcPr>
          <w:p>
            <w:pPr>
              <w:spacing w:after="20" w:before="20" w:line="230" w:lineRule="exact"/>
            </w:pPr>
            <w:r>
              <w:rPr>
                <w:b w:val="0"/>
                <w:color w:val="000000"/>
                <w:sz w:val="17"/>
              </w:rPr>
            </w:r>
          </w:p>
        </w:tc>
      </w:tr>
    </w:tbl>
    <w:p>
      <w:pPr>
        <w:keepLines/>
        <w:spacing w:after="80" w:before="0"/>
      </w:pPr>
      <w:r>
        <w:rPr>
          <w:b w:val="0"/>
          <w:sz w:val="2"/>
        </w:rPr>
      </w:r>
    </w:p>
    <w:p>
      <w:pPr>
        <w:pStyle w:val="Heading1"/>
        <w:keepLines/>
        <w:pageBreakBefore/>
        <w:spacing w:after="160" w:before="0"/>
      </w:pPr>
      <w:r>
        <w:rPr>
          <w:b/>
        </w:rPr>
        <w:t>Analiza el funcionamiento y sus efectos</w:t>
      </w:r>
    </w:p>
    <w:p>
      <w:pPr>
        <w:pStyle w:val="Heading2"/>
        <w:keepLines/>
        <w:spacing w:after="100" w:before="0"/>
      </w:pPr>
      <w:r>
        <w:rPr>
          <w:b/>
        </w:rPr>
        <w:t>Pregunta 1</w:t>
      </w:r>
    </w:p>
    <w:p>
      <w:pPr>
        <w:keepLines/>
        <w:spacing w:after="60" w:before="0"/>
      </w:pPr>
      <w:r>
        <w:rPr>
          <w:b w:val="0"/>
          <w:sz w:val="21"/>
        </w:rPr>
        <w:t>¿Qué cambio concreto se somete a decisión y cómo vinculas el diff, su revisión y sus evidencias? Si solo hay un archivo HCL de prueba, ¿qué parte del análisis queda limitada a documentación?</w:t>
      </w:r>
    </w:p>
    <w:p>
      <w:pPr>
        <w:keepLines/>
        <w:spacing w:after="100" w:before="0"/>
      </w:pPr>
      <w:r>
        <w:rPr>
          <w:b w:val="0"/>
          <w:sz w:val="17"/>
        </w:rPr>
        <w:t>Consulta A1-F1, A1-F2</w:t>
      </w:r>
    </w:p>
    <w:p>
      <w:pPr>
        <w:keepLines/>
        <w:spacing w:after="0" w:before="0"/>
      </w:pPr>
      <w:r>
        <w:rPr>
          <w:b/>
          <w:sz w:val="18"/>
        </w:rPr>
        <w:t>Respuesta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200" w:before="0"/>
      </w:pPr>
      <w:r>
        <w:rPr>
          <w:b w:val="0"/>
          <w:sz w:val="17"/>
        </w:rPr>
        <w:t>Evidencia o referencia ____________________________________________________</w:t>
      </w:r>
    </w:p>
    <w:p>
      <w:pPr>
        <w:pStyle w:val="Heading2"/>
        <w:keepLines/>
        <w:spacing w:after="100" w:before="0"/>
      </w:pPr>
      <w:r>
        <w:rPr>
          <w:b/>
        </w:rPr>
        <w:t>Pregunta 2</w:t>
      </w:r>
    </w:p>
    <w:p>
      <w:pPr>
        <w:keepLines/>
        <w:spacing w:after="60" w:before="0"/>
      </w:pPr>
      <w:r>
        <w:rPr>
          <w:b w:val="0"/>
          <w:sz w:val="21"/>
        </w:rPr>
        <w:t>¿Qué efectos tiene el cambio sobre su función, seguridad, IAM y costes? Clasifica cada dimensión como efecto comprobado, ausencia de efecto comprobada o información insuficiente, y aporta una referencia.</w:t>
      </w:r>
    </w:p>
    <w:p>
      <w:pPr>
        <w:keepLines/>
        <w:spacing w:after="100" w:before="0"/>
      </w:pPr>
      <w:r>
        <w:rPr>
          <w:b w:val="0"/>
          <w:sz w:val="17"/>
        </w:rPr>
        <w:t>Consulta A1-F1, A1-F3, A1-F4</w:t>
      </w:r>
    </w:p>
    <w:p>
      <w:pPr>
        <w:keepLines/>
        <w:spacing w:after="0" w:before="0"/>
      </w:pPr>
      <w:r>
        <w:rPr>
          <w:b/>
          <w:sz w:val="18"/>
        </w:rPr>
        <w:t>Respuesta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200" w:before="0"/>
      </w:pPr>
      <w:r>
        <w:rPr>
          <w:b w:val="0"/>
          <w:sz w:val="17"/>
        </w:rPr>
        <w:t>Evidencia o referencia ____________________________________________________</w:t>
      </w:r>
    </w:p>
    <w:p>
      <w:pPr>
        <w:pStyle w:val="Heading2"/>
        <w:keepLines/>
        <w:spacing w:after="100" w:before="0"/>
      </w:pPr>
      <w:r>
        <w:rPr>
          <w:b/>
        </w:rPr>
        <w:t>Pregunta 3</w:t>
      </w:r>
    </w:p>
    <w:p>
      <w:pPr>
        <w:keepLines/>
        <w:spacing w:after="60" w:before="0"/>
      </w:pPr>
      <w:r>
        <w:rPr>
          <w:b w:val="0"/>
          <w:sz w:val="21"/>
        </w:rPr>
        <w:t>¿Qué permitiría concluir sobre los efectos de integrar el cambio en Git y sobre un eventual apply posterior? Identifica el artefacto y la revisión que tendría que cubrir cada decisión.</w:t>
      </w:r>
    </w:p>
    <w:p>
      <w:pPr>
        <w:keepLines/>
        <w:spacing w:after="100" w:before="0"/>
      </w:pPr>
      <w:r>
        <w:rPr>
          <w:b w:val="0"/>
          <w:sz w:val="17"/>
        </w:rPr>
        <w:t>Consulta A1-F2, A1-F3, A1-F6</w:t>
      </w:r>
    </w:p>
    <w:p>
      <w:pPr>
        <w:keepLines/>
        <w:spacing w:after="0" w:before="0"/>
      </w:pPr>
      <w:r>
        <w:rPr>
          <w:b/>
          <w:sz w:val="18"/>
        </w:rPr>
        <w:t>Respuesta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200" w:before="0"/>
      </w:pPr>
      <w:r>
        <w:rPr>
          <w:b w:val="0"/>
          <w:sz w:val="17"/>
        </w:rPr>
        <w:t>Evidencia o referencia ____________________________________________________</w:t>
      </w:r>
    </w:p>
    <w:p>
      <w:pPr>
        <w:pStyle w:val="Heading1"/>
        <w:keepLines/>
        <w:pageBreakBefore/>
        <w:spacing w:after="160" w:before="0"/>
      </w:pPr>
      <w:r>
        <w:rPr>
          <w:b/>
        </w:rPr>
        <w:t>Fundamenta las condiciones y la decisión</w:t>
      </w:r>
    </w:p>
    <w:p>
      <w:pPr>
        <w:pStyle w:val="Heading2"/>
        <w:keepLines/>
        <w:spacing w:after="100" w:before="0"/>
      </w:pPr>
      <w:r>
        <w:rPr>
          <w:b/>
        </w:rPr>
        <w:t>Pregunta 4</w:t>
      </w:r>
    </w:p>
    <w:p>
      <w:pPr>
        <w:keepLines/>
        <w:spacing w:after="60" w:before="0"/>
      </w:pPr>
      <w:r>
        <w:rPr>
          <w:b w:val="0"/>
          <w:sz w:val="21"/>
        </w:rPr>
        <w:t>¿Qué política, responsable y límites acreditarían una autorización delegada para este ámbito? Distingue lo que comprueba Kumoss de lo que debe verificarse en la organización o el proveedor Git.</w:t>
      </w:r>
    </w:p>
    <w:p>
      <w:pPr>
        <w:keepLines/>
        <w:spacing w:after="100" w:before="0"/>
      </w:pPr>
      <w:r>
        <w:rPr>
          <w:b w:val="0"/>
          <w:sz w:val="17"/>
        </w:rPr>
        <w:t>Consulta A1-F2, A1-F3, A1-F5</w:t>
      </w:r>
    </w:p>
    <w:p>
      <w:pPr>
        <w:keepLines/>
        <w:spacing w:after="0" w:before="0"/>
      </w:pPr>
      <w:r>
        <w:rPr>
          <w:b/>
          <w:sz w:val="18"/>
        </w:rPr>
        <w:t>Respuesta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200" w:before="0"/>
      </w:pPr>
      <w:r>
        <w:rPr>
          <w:b w:val="0"/>
          <w:sz w:val="17"/>
        </w:rPr>
        <w:t>Evidencia o referencia ____________________________________________________</w:t>
      </w:r>
    </w:p>
    <w:p>
      <w:pPr>
        <w:pStyle w:val="Heading2"/>
        <w:keepLines/>
        <w:spacing w:after="100" w:before="0"/>
      </w:pPr>
      <w:r>
        <w:rPr>
          <w:b/>
        </w:rPr>
        <w:t>Pregunta 5</w:t>
      </w:r>
    </w:p>
    <w:p>
      <w:pPr>
        <w:keepLines/>
        <w:spacing w:after="60" w:before="0"/>
      </w:pPr>
      <w:r>
        <w:rPr>
          <w:b w:val="0"/>
          <w:sz w:val="21"/>
        </w:rPr>
        <w:t>¿Qué condiciones verificables exigirías antes de considerar elegible el cambio y cuáles están realmente acreditadas? Explica cómo tratarías una excepción, un bloqueo o un cambio posterior del diff.</w:t>
      </w:r>
    </w:p>
    <w:p>
      <w:pPr>
        <w:keepLines/>
        <w:spacing w:after="100" w:before="0"/>
      </w:pPr>
      <w:r>
        <w:rPr>
          <w:b w:val="0"/>
          <w:sz w:val="17"/>
        </w:rPr>
        <w:t>Consulta A1-F2, A1-F3, A1-F5</w:t>
      </w:r>
    </w:p>
    <w:p>
      <w:pPr>
        <w:keepLines/>
        <w:spacing w:after="0" w:before="0"/>
      </w:pPr>
      <w:r>
        <w:rPr>
          <w:b/>
          <w:sz w:val="18"/>
        </w:rPr>
        <w:t>Respuesta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200" w:before="0"/>
      </w:pPr>
      <w:r>
        <w:rPr>
          <w:b w:val="0"/>
          <w:sz w:val="17"/>
        </w:rPr>
        <w:t>Evidencia o referencia ____________________________________________________</w:t>
      </w:r>
    </w:p>
    <w:p>
      <w:pPr>
        <w:pStyle w:val="Heading2"/>
        <w:keepLines/>
        <w:spacing w:after="100" w:before="0"/>
      </w:pPr>
      <w:r>
        <w:rPr>
          <w:b/>
        </w:rPr>
        <w:t>Pregunta 6</w:t>
      </w:r>
    </w:p>
    <w:p>
      <w:pPr>
        <w:keepLines/>
        <w:spacing w:after="60" w:before="0"/>
      </w:pPr>
      <w:r>
        <w:rPr>
          <w:b w:val="0"/>
          <w:sz w:val="21"/>
        </w:rPr>
        <w:t>¿Qué dictamen sostienen las evidencias y qué incertidumbre podría modificarlo? Relaciónalo con un criterio organizativo y, solo si procede, con el apartado normativo aplicable.</w:t>
      </w:r>
    </w:p>
    <w:p>
      <w:pPr>
        <w:keepLines/>
        <w:spacing w:after="100" w:before="0"/>
      </w:pPr>
      <w:r>
        <w:rPr>
          <w:b w:val="0"/>
          <w:sz w:val="17"/>
        </w:rPr>
        <w:t>Consulta A1-F2, A1-F3, A1-F4, A1-F5, A1-F6</w:t>
      </w:r>
    </w:p>
    <w:p>
      <w:pPr>
        <w:keepLines/>
        <w:spacing w:after="0" w:before="0"/>
      </w:pPr>
      <w:r>
        <w:rPr>
          <w:b/>
          <w:sz w:val="18"/>
        </w:rPr>
        <w:t>Respuesta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200" w:before="0"/>
      </w:pPr>
      <w:r>
        <w:rPr>
          <w:b w:val="0"/>
          <w:sz w:val="17"/>
        </w:rPr>
        <w:t>Evidencia o referencia ____________________________________________________</w:t>
      </w:r>
    </w:p>
    <w:p>
      <w:pPr>
        <w:pStyle w:val="Heading1"/>
        <w:keepLines/>
        <w:pageBreakBefore/>
        <w:spacing w:after="160" w:before="0"/>
      </w:pPr>
      <w:r>
        <w:rPr>
          <w:b/>
        </w:rPr>
        <w:t>Dictamen y comprobación del cierre</w:t>
      </w:r>
    </w:p>
    <w:p>
      <w:pPr>
        <w:keepLines/>
        <w:spacing w:after="100" w:before="0"/>
      </w:pPr>
      <w:r>
        <w:rPr>
          <w:b w:val="0"/>
          <w:sz w:val="19"/>
        </w:rPr>
        <w:t>Marca una opción y completa su justificación. Ninguna opción está seleccionada.</w:t>
      </w:r>
    </w:p>
    <w:p>
      <w:pPr>
        <w:keepLines/>
        <w:spacing w:after="100" w:before="0"/>
      </w:pPr>
      <w:r>
        <w:rPr>
          <w:b w:val="0"/>
          <w:sz w:val="19"/>
        </w:rPr>
        <w:t>[  ] Elegible para autorización delegada conforme a una política externa acreditada.</w:t>
      </w:r>
    </w:p>
    <w:p>
      <w:pPr>
        <w:keepLines/>
        <w:spacing w:after="100" w:before="0"/>
      </w:pPr>
      <w:r>
        <w:rPr>
          <w:b w:val="0"/>
          <w:sz w:val="19"/>
        </w:rPr>
        <w:t>[  ] Elegible solo tras cumplir y verificar las condiciones indicadas; autorización pendiente.</w:t>
      </w:r>
    </w:p>
    <w:p>
      <w:pPr>
        <w:keepLines/>
        <w:spacing w:after="100" w:before="0"/>
      </w:pPr>
      <w:r>
        <w:rPr>
          <w:b w:val="0"/>
          <w:sz w:val="19"/>
        </w:rPr>
        <w:t>[  ] No elegible para delegación; requiere la revisión o aprobación indicada.</w:t>
      </w:r>
    </w:p>
    <w:p>
      <w:pPr>
        <w:keepLines/>
        <w:spacing w:after="100" w:before="0"/>
      </w:pPr>
      <w:r>
        <w:rPr>
          <w:b w:val="0"/>
          <w:sz w:val="19"/>
        </w:rPr>
        <w:t>[  ] Información insuficiente para emitir un dictamen sobre el cambio.</w:t>
      </w:r>
    </w:p>
    <w:p>
      <w:pPr>
        <w:pStyle w:val="Heading2"/>
        <w:keepLines/>
        <w:spacing w:after="100" w:before="0"/>
      </w:pPr>
      <w:r>
        <w:rPr>
          <w:b/>
        </w:rPr>
        <w:t>Justificación y evidencia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200" w:before="0"/>
      </w:pPr>
      <w:r>
        <w:rPr>
          <w:b w:val="0"/>
          <w:sz w:val="18"/>
        </w:rPr>
        <w:t>Criterio aplicable _________________________________________________________</w:t>
      </w:r>
    </w:p>
    <w:p>
      <w:pPr>
        <w:pStyle w:val="Heading2"/>
        <w:keepLines/>
        <w:spacing w:after="100" w:before="0"/>
      </w:pPr>
      <w:r>
        <w:rPr>
          <w:b/>
        </w:rPr>
        <w:t>Qué falta y cómo se comprobará</w:t>
      </w:r>
    </w:p>
    <w:p>
      <w:pPr>
        <w:keepLines/>
        <w:spacing w:after="0" w:before="0"/>
      </w:pPr>
      <w:r>
        <w:rPr>
          <w:b/>
          <w:sz w:val="19"/>
        </w:rPr>
        <w:t>Condición, medida o evidencia pendiente (proporcionada al riesgo identificado)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Rol responsable de resolverla o de autorizar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Cómo y con qué evidencia se comprobará antes de reconsiderar el dictamen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Alcance del cierre: decisión de Git, decisión de apply u otra; límites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keepLines/>
        <w:spacing w:after="0" w:before="0"/>
      </w:pPr>
      <w:r>
        <w:rPr>
          <w:b/>
          <w:sz w:val="19"/>
        </w:rPr>
        <w:t>Referencia normativa solo si aplica: documento, edición, apartado y vínculo con la decisión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0" w:before="0" w:line="300" w:lineRule="exact"/>
        <w:pBdr>
          <w:bottom w:val="single" w:sz="3" w:color="D9D9D9"/>
        </w:pBdr>
      </w:pPr>
      <w:r>
        <w:rPr>
          <w:b w:val="0"/>
        </w:rPr>
        <w:t xml:space="preserve"> </w:t>
      </w:r>
    </w:p>
    <w:p>
      <w:pPr>
        <w:keepLines/>
        <w:spacing w:after="40" w:before="0"/>
      </w:pPr>
      <w:r>
        <w:rPr>
          <w:b w:val="0"/>
          <w:sz w:val="2"/>
        </w:rPr>
      </w:r>
    </w:p>
    <w:p>
      <w:pPr>
        <w:pStyle w:val="Heading2"/>
        <w:keepLines/>
        <w:spacing w:after="100" w:before="0"/>
      </w:pPr>
      <w:r>
        <w:rPr>
          <w:b/>
        </w:rPr>
        <w:t>Antes de entregar</w:t>
      </w:r>
    </w:p>
    <w:p>
      <w:pPr>
        <w:keepLines/>
        <w:spacing w:after="100" w:before="0"/>
      </w:pPr>
      <w:r>
        <w:rPr>
          <w:b w:val="0"/>
          <w:sz w:val="18"/>
        </w:rPr>
        <w:t>Comprueba que has separado capacidad técnica, criterio organizativo y evidencia. Explica las incertidumbres y justifica la medida que propones.</w:t>
      </w:r>
    </w:p>
    <w:p>
      <w:pPr>
        <w:keepLines/>
        <w:spacing w:after="100" w:before="0"/>
      </w:pPr>
      <w:r>
        <w:rPr>
          <w:b w:val="0"/>
          <w:sz w:val="17"/>
        </w:rPr>
        <w:t>Nivel que justifica mi respuesta según la rúbrica del curso ______   Evidencia que debo mejorar 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35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José Manuel Hernández Agudo  |  A1  |  Página </w:t>
    </w:r>
    <w:fldSimple w:instr="PAGE">
      <w:r>
        <w:t>1</w:t>
      </w:r>
    </w:fldSimple>
    <w:r>
      <w:t xml:space="preserve"> de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Fundamentos del SGIA e ISO/IEC 42001  |  Monográfico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line="284" w:lineRule="exact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keepNext w:val="0"/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github.com/InditexTech/kumoss/blob/21eb7866ac995f6d6f3159f2ea342e472893638c/services/iac/tests/fixtures/engine_smoke/main.tf#L5" TargetMode="External"/><Relationship Id="rId12" Type="http://schemas.openxmlformats.org/officeDocument/2006/relationships/hyperlink" Target="https://github.com/InditexTech/kumoss/blob/21eb7866ac995f6d6f3159f2ea342e472893638c/core/src/api/v1/repository.py#L25" TargetMode="External"/><Relationship Id="rId13" Type="http://schemas.openxmlformats.org/officeDocument/2006/relationships/hyperlink" Target="https://github.com/InditexTech/kumoss/blob/21eb7866ac995f6d6f3159f2ea342e472893638c/core/src/application/use_cases/terraform_crud_handler.py#L123" TargetMode="External"/><Relationship Id="rId14" Type="http://schemas.openxmlformats.org/officeDocument/2006/relationships/hyperlink" Target="https://github.com/InditexTech/kumoss/blob/21eb7866ac995f6d6f3159f2ea342e472893638c/core/src/infrastructure/templates/base_layouts/core/report_generator.jinja#L45" TargetMode="External"/><Relationship Id="rId15" Type="http://schemas.openxmlformats.org/officeDocument/2006/relationships/hyperlink" Target="https://github.com/InditexTech/kumoss/blob/21eb7866ac995f6d6f3159f2ea342e472893638c/docs/src/modules/main/pages/guides/production/hardening.adoc#L69" TargetMode="External"/><Relationship Id="rId16" Type="http://schemas.openxmlformats.org/officeDocument/2006/relationships/hyperlink" Target="https://github.com/InditexTech/kumoss/blob/21eb7866ac995f6d6f3159f2ea342e472893638c/core/src/application/use_cases/terraform_apply_handler.py#L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Análisis de elegibilidad para automerge en GitOps</dc:title>
  <dc:subject>Monográfico 4 Kumoss Actividades y correspondencia funcional</dc:subject>
  <dc:creator>José Manuel Hernández Agudo</dc:creator>
  <cp:keywords>Kumoss, SGIA, ISO 42001, GitOps, automerge, drift, Phoenix, OpenTelemetry, evidencia, gobierno de IA</cp:keywords>
  <dc:description>generated by python-docx</dc:description>
  <cp:lastModifiedBy>José Manuel Hernández Agudo</cp:lastModifiedBy>
  <cp:revision>1</cp:revision>
  <dcterms:created xsi:type="dcterms:W3CDTF">2026-10-29T00:00:00Z</dcterms:created>
  <dcterms:modified xsi:type="dcterms:W3CDTF">2026-10-29T00:00:00Z</dcterms:modified>
  <cp:category/>
</cp:coreProperties>
</file>