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7AFD5" w14:textId="77777777" w:rsidR="00CD5158" w:rsidRDefault="00D62E86">
      <w:pPr>
        <w:pStyle w:val="Ttulo"/>
      </w:pPr>
      <w:r>
        <w:t>Gestión y registro de incidentes de IA</w:t>
      </w:r>
    </w:p>
    <w:p w14:paraId="0B3152D4" w14:textId="77777777" w:rsidR="00CD5158" w:rsidRDefault="00D62E86">
      <w:r>
        <w:rPr>
          <w:b/>
        </w:rPr>
        <w:t>INC-001 v0.4    Plantilla para adaptar</w:t>
      </w:r>
    </w:p>
    <w:p w14:paraId="7E433753" w14:textId="77777777" w:rsidR="00CD5158" w:rsidRDefault="00D62E86">
      <w:r>
        <w:t>Utiliza este procedimiento y formulario para coordinar la respuesta, conservar evidencias y decidir cuándo recuperar o cerrar un uso de IA. La versión vacía permite adaptar responsables y criterios. El ejemplo aplica el caso ficticio T10-014 y conserva sus pendientes.</w:t>
      </w:r>
    </w:p>
    <w:p w14:paraId="73AE60B6" w14:textId="77777777" w:rsidR="00CD5158" w:rsidRDefault="00D62E86">
      <w:pPr>
        <w:pStyle w:val="Ttulo1"/>
      </w:pPr>
      <w:r>
        <w:t>1 Alcance y coordinación</w:t>
      </w:r>
    </w:p>
    <w:p w14:paraId="03C1262C" w14:textId="77777777" w:rsidR="00CD5158" w:rsidRDefault="00D62E86">
      <w:r>
        <w:t>Incluye eventos relacionados con datos, modelo, integración, interfaz y supervisión del chatbot, clasificador y copiloto. Vincula el registro del SGIA con el del SGSI o de gestión de servicios cuando coincidan, conservando una cronología común y referencias entre expedientes.</w:t>
      </w:r>
    </w:p>
    <w:p w14:paraId="23E229CC" w14:textId="77777777" w:rsidR="00CD5158" w:rsidRDefault="00D62E86">
      <w:r>
        <w:t>Quien detecta registra y avisa. El coordinador reúne hechos y propone severidad. El propietario del uso y la función autorizada deciden restricciones y recuperación. Seguridad, privacidad y asesoría jurídica evalúan sus obligaciones. Cada organización concreta nombres, cobertura y suplencias antes de aprobar este procedimiento.</w:t>
      </w:r>
    </w:p>
    <w:p w14:paraId="366A3959" w14:textId="77777777" w:rsidR="00CD5158" w:rsidRDefault="00D62E86">
      <w:pPr>
        <w:pStyle w:val="Ttulo1"/>
      </w:pPr>
      <w:r>
        <w:t>2 Detección y triaje</w:t>
      </w:r>
    </w:p>
    <w:p w14:paraId="2426D4B0" w14:textId="77777777" w:rsidR="00CD5158" w:rsidRDefault="00D62E86">
      <w:r>
        <w:t>Registra señal, hora y zona horaria, canal, uso y evidencia. Distingue impacto confirmado y potencial. Valora alcance, urgencia, reversibilidad y personas afectadas. Una señal grave puede requerir contención inmediata aunque el cuadro agregado siga dentro del criterio.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7"/>
        <w:gridCol w:w="5046"/>
        <w:gridCol w:w="3005"/>
      </w:tblGrid>
      <w:tr w:rsidR="00CD5158" w14:paraId="739111F0" w14:textId="77777777">
        <w:trPr>
          <w:cantSplit/>
          <w:tblHeader/>
          <w:jc w:val="center"/>
        </w:trPr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5476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0BA371D" w14:textId="77777777" w:rsidR="00CD5158" w:rsidRDefault="00D62E86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Nivel propuesto</w:t>
            </w:r>
          </w:p>
        </w:tc>
        <w:tc>
          <w:tcPr>
            <w:tcW w:w="50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5476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2E0F87B" w14:textId="77777777" w:rsidR="00CD5158" w:rsidRDefault="00D62E86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Criterio operativo orientativo</w:t>
            </w:r>
          </w:p>
        </w:tc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5476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BA928DB" w14:textId="77777777" w:rsidR="00CD5158" w:rsidRDefault="00D62E86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Respuesta</w:t>
            </w:r>
          </w:p>
        </w:tc>
      </w:tr>
      <w:tr w:rsidR="00CD5158" w14:paraId="306F0F09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F6A147B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S1 Urgente</w:t>
            </w:r>
          </w:p>
        </w:tc>
        <w:tc>
          <w:tcPr>
            <w:tcW w:w="50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3A0699B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Daño grave plausible, exposición sensible en curso, decisiones críticas o alcance que crece sin control.</w:t>
            </w:r>
          </w:p>
        </w:tc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C003E9D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Avisar de inmediato a la función de guardia; restringir según autoridad y activar alternativa.</w:t>
            </w:r>
          </w:p>
        </w:tc>
      </w:tr>
      <w:tr w:rsidR="00CD5158" w14:paraId="79D2298E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FA0ABCE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S2 Prioritario</w:t>
            </w:r>
          </w:p>
        </w:tc>
        <w:tc>
          <w:tcPr>
            <w:tcW w:w="50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1EBC804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Desviación relevante y alcance aún incierto, con alternativa controlada disponible.</w:t>
            </w:r>
          </w:p>
        </w:tc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D65148D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Asignar coordinador, contener y fijar próxima revisión con plazo concreto.</w:t>
            </w:r>
          </w:p>
        </w:tc>
      </w:tr>
      <w:tr w:rsidR="00CD5158" w14:paraId="164E31E7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E911F9B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S3 Ordinario</w:t>
            </w:r>
          </w:p>
        </w:tc>
        <w:tc>
          <w:tcPr>
            <w:tcW w:w="50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07629E3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Efecto limitado, reversible y delimitado con controles disponibles.</w:t>
            </w:r>
          </w:p>
        </w:tc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031EC98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Registrar, revisar por el responsable y verificar evolución.</w:t>
            </w:r>
          </w:p>
        </w:tc>
      </w:tr>
    </w:tbl>
    <w:p w14:paraId="50DD249D" w14:textId="77777777" w:rsidR="00CD5158" w:rsidRDefault="00CD5158"/>
    <w:p w14:paraId="4ED27DFF" w14:textId="77777777" w:rsidR="00CD5158" w:rsidRDefault="00D62E86">
      <w:r>
        <w:t>Estos niveles no son categorías regulatorias. Una clasificación provisional debe revisarse con nueva evidencia. Incidente y no conformidad pueden coexistir: para esta última identifica requisito y evidencia de incumplimiento.</w:t>
      </w:r>
    </w:p>
    <w:p w14:paraId="7C387F51" w14:textId="77777777" w:rsidR="00CD5158" w:rsidRDefault="00D62E86">
      <w:r>
        <w:br w:type="page"/>
      </w:r>
    </w:p>
    <w:p w14:paraId="1E7944E8" w14:textId="77777777" w:rsidR="00CD5158" w:rsidRDefault="00D62E86">
      <w:pPr>
        <w:pStyle w:val="Ttulo1"/>
      </w:pPr>
      <w:r>
        <w:lastRenderedPageBreak/>
        <w:t>3 Contención y evidencia</w:t>
      </w:r>
    </w:p>
    <w:p w14:paraId="2D554323" w14:textId="77777777" w:rsidR="00CD5158" w:rsidRDefault="00D62E86">
      <w:r>
        <w:t>Delimita lo que se restringe y la autoridad que lo decide. Comprueba que la alternativa humana tiene capacidad y prioridad suficientes. Conserva las solicitudes abiertas y evita que el cambio genere pérdida de seguimiento. Registra medida, hora, responsable y comprobación de efecto.</w:t>
      </w:r>
    </w:p>
    <w:p w14:paraId="3AFD5ACD" w14:textId="77777777" w:rsidR="00CD5158" w:rsidRDefault="00D62E86">
      <w:r>
        <w:t>Preserva originales pertinentes cuando sea necesario y autorizado, con procedencia, integridad, control de acceso y retención. Incluye entradas, salidas, contexto recuperado, versión, parámetros, permisos y registros. No vuelques datos sensibles o credenciales en un registro abierto. Los extractos o datos sintéticos para pruebas no sustituyen automáticamente los originales investigados.</w:t>
      </w:r>
    </w:p>
    <w:p w14:paraId="24913015" w14:textId="77777777" w:rsidR="00CD5158" w:rsidRDefault="00D62E86">
      <w:pPr>
        <w:pStyle w:val="Ttulo1"/>
      </w:pPr>
      <w:r>
        <w:t>4 Investigación por capas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370"/>
      </w:tblGrid>
      <w:tr w:rsidR="00CD5158" w14:paraId="1DD57A7E" w14:textId="77777777">
        <w:trPr>
          <w:cantSplit/>
          <w:tblHeader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5476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0EE65A6" w14:textId="77777777" w:rsidR="00CD5158" w:rsidRDefault="00D62E86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Capa</w:t>
            </w:r>
          </w:p>
        </w:tc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5476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4BE9136" w14:textId="77777777" w:rsidR="00CD5158" w:rsidRDefault="00D62E86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Comprobación y evidencia propuesta</w:t>
            </w:r>
          </w:p>
        </w:tc>
      </w:tr>
      <w:tr w:rsidR="00CD5158" w14:paraId="367D5A8F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1C8FE41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Entrada y contexto</w:t>
            </w:r>
          </w:p>
        </w:tc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6CECC38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Contenido recibido frente al enviado, documentos recuperados, referencia y validación.</w:t>
            </w:r>
          </w:p>
        </w:tc>
      </w:tr>
      <w:tr w:rsidR="00CD5158" w14:paraId="6E4F4788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207EE1B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Modelo y configuración</w:t>
            </w:r>
          </w:p>
        </w:tc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546203C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Modelo realmente usado, parámetros, políticas y reproducción controlada.</w:t>
            </w:r>
          </w:p>
        </w:tc>
      </w:tr>
      <w:tr w:rsidR="00CD5158" w14:paraId="3DD3C2CD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27823E8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Integración</w:t>
            </w:r>
          </w:p>
        </w:tc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606616A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Transformación de etiquetas, reglas, campos, errores, colas y permisos.</w:t>
            </w:r>
          </w:p>
        </w:tc>
      </w:tr>
      <w:tr w:rsidR="00CD5158" w14:paraId="75758ECC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FE4FB26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Interfaz y supervisión</w:t>
            </w:r>
          </w:p>
        </w:tc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E83E85A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Avisos, presentación, intervención humana, cobertura y derivación.</w:t>
            </w:r>
          </w:p>
        </w:tc>
      </w:tr>
    </w:tbl>
    <w:p w14:paraId="39F41A9A" w14:textId="77777777" w:rsidR="00CD5158" w:rsidRDefault="00CD5158"/>
    <w:p w14:paraId="64AD4E66" w14:textId="77777777" w:rsidR="00CD5158" w:rsidRDefault="00D62E86">
      <w:r>
        <w:t>Investiga hipótesis en paralelo si procede. Una entrada truncada no exime automáticamente a los demás componentes. Distingue hipótesis, prueba prevista, resultado y grado de respaldo. Reiniciar o obtener una respuesta correcta aislada no demuestra eliminación de la causa.</w:t>
      </w:r>
    </w:p>
    <w:p w14:paraId="67A591B1" w14:textId="77777777" w:rsidR="00CD5158" w:rsidRDefault="00D62E86">
      <w:pPr>
        <w:pStyle w:val="Ttulo1"/>
      </w:pPr>
      <w:r>
        <w:t>5 Actuaciones y cambios</w:t>
      </w:r>
    </w:p>
    <w:p w14:paraId="55D3300E" w14:textId="77777777" w:rsidR="00CD5158" w:rsidRDefault="00D62E86">
      <w:r>
        <w:t>Contener limita exposición. Corregir resuelve el defecto o situación. Mitigar reduce consecuencias. La acción correctiva aborda causas de una no conformidad y su recurrencia; documenta requisito, causa, acción y eficacia. Otras mejoras conservan su justificación sin inventar una no conformidad.</w:t>
      </w:r>
    </w:p>
    <w:p w14:paraId="21E7737C" w14:textId="77777777" w:rsidR="00CD5158" w:rsidRDefault="00D62E86">
      <w:r>
        <w:t>Gestiona las modificaciones con CAM-001. La vía de emergencia debe estar autorizada, ser proporcionada y conservar pruebas, alternativa y trazabilidad. La urgencia no autoriza improvisar cambios sin control.</w:t>
      </w:r>
    </w:p>
    <w:p w14:paraId="47463330" w14:textId="77777777" w:rsidR="00CD5158" w:rsidRDefault="00D62E86">
      <w:r>
        <w:br w:type="page"/>
      </w:r>
    </w:p>
    <w:p w14:paraId="6B269BCA" w14:textId="77777777" w:rsidR="00CD5158" w:rsidRDefault="00D62E86">
      <w:pPr>
        <w:pStyle w:val="Ttulo1"/>
      </w:pPr>
      <w:r>
        <w:t>6 Comunicación y obligaciones</w:t>
      </w:r>
    </w:p>
    <w:p w14:paraId="43338F0A" w14:textId="77777777" w:rsidR="00CD5158" w:rsidRDefault="00D62E86">
      <w:r>
        <w:t>Desde el triaje, registra destinatario, desencadenante, responsable, aprobador, canal, plazo aplicable y evidencia de envío. Comunica hechos, incertidumbre, acción adoptada y siguiente actualización. No esperes la causa raíz para iniciar la evaluación de obligaciones o emitir un aviso que ya corresponda.</w:t>
      </w:r>
    </w:p>
    <w:p w14:paraId="2C0359D0" w14:textId="77777777" w:rsidR="00CD5158" w:rsidRDefault="00D62E86">
      <w:r>
        <w:t>La función competente comprueba contrato, clasificación y rol en AI Act, protección de datos y otros requisitos aplicables. No todo error exige aviso a autoridades ni existe un plazo único para todos los incidentes de IA. En RGPD distingue responsable y encargado y la comunicación a personas afectadas. En AI Act distingue obligaciones del proveedor y del responsable del despliegue en sus supuestos.</w:t>
      </w:r>
    </w:p>
    <w:p w14:paraId="1799389D" w14:textId="77777777" w:rsidR="00CD5158" w:rsidRDefault="00D62E86">
      <w:pPr>
        <w:pStyle w:val="Ttulo1"/>
      </w:pPr>
      <w:r>
        <w:t>7 Recuperación y cierre</w:t>
      </w:r>
    </w:p>
    <w:p w14:paraId="6C1D8D6A" w14:textId="77777777" w:rsidR="00CD5158" w:rsidRDefault="00D62E86">
      <w:r>
        <w:t>Fija criterios antes de probar: alcance, referencia, casos pertinentes, regresiones, supervisión y capacidad de alternativa. Las pruebas se realizan con datos y entornos autorizados. No existe una obligación universal de ensayar todos los escenarios con datos reales en producción ni demostrar un 100 % perpetuo.</w:t>
      </w:r>
    </w:p>
    <w:p w14:paraId="44C7060E" w14:textId="77777777" w:rsidR="00CD5158" w:rsidRDefault="00D62E86">
      <w:r>
        <w:t>La autoridad designada decide recuperación con respaldo suficiente y condiciones de seguimiento. Registra por separado recuperación del servicio, investigación, comunicaciones y eficacia. Si faltan casos, conserva incertidumbre, responsable y próxima comprobación. Los borradores no acreditan envío.</w:t>
      </w:r>
    </w:p>
    <w:p w14:paraId="22402C51" w14:textId="77777777" w:rsidR="00CD5158" w:rsidRDefault="00D62E86">
      <w:r>
        <w:t>Revisa riesgos e impactos con la nueva evidencia. Cambia valoración o controles cuando esté justificado, sin modificar puntuaciones automáticamente. Conserva MON-001, INC-001, decisiones y pendientes para la auditoría del módulo 11.</w:t>
      </w:r>
    </w:p>
    <w:p w14:paraId="12F0E21D" w14:textId="77777777" w:rsidR="00CD5158" w:rsidRDefault="00D62E86">
      <w:pPr>
        <w:pStyle w:val="Ttulo1"/>
      </w:pPr>
      <w:r>
        <w:t>8 Referencias para adaptar el procedimiento</w:t>
      </w:r>
    </w:p>
    <w:p w14:paraId="3E1F3F56" w14:textId="77777777" w:rsidR="00CD5158" w:rsidRDefault="00D62E86">
      <w:r>
        <w:t>ISO/IEC 42001:2023 es la referencia del SGIA. Contrasta los requisitos en la edición licenciada de la organización. NIST AI RMF y SP 800-61r3 son apoyos voluntarios para riesgos y respuesta, no obligaciones adicionales de ISO.</w:t>
      </w:r>
    </w:p>
    <w:p w14:paraId="4FCDA70D" w14:textId="77777777" w:rsidR="00CD5158" w:rsidRDefault="00D62E86">
      <w:r>
        <w:rPr>
          <w:sz w:val="18"/>
        </w:rPr>
        <w:t>NIST AI RMF Core: https://airc.nist.gov/airmf-resources/airmf/5-sec-core/</w:t>
      </w:r>
    </w:p>
    <w:p w14:paraId="1F8E6B47" w14:textId="77777777" w:rsidR="00CD5158" w:rsidRDefault="00D62E86">
      <w:r>
        <w:rPr>
          <w:sz w:val="18"/>
        </w:rPr>
        <w:t>NIST SP 800-61r3: https://doi.org/10.6028/NIST.SP.800-61r3</w:t>
      </w:r>
    </w:p>
    <w:p w14:paraId="35B63632" w14:textId="77777777" w:rsidR="00CD5158" w:rsidRDefault="00D62E86">
      <w:r>
        <w:rPr>
          <w:sz w:val="18"/>
        </w:rPr>
        <w:t>EDPB sobre brechas: https://www.edpb.europa.eu/sme/assess-the-risks/data-breaches_en</w:t>
      </w:r>
    </w:p>
    <w:p w14:paraId="2A49E6DF" w14:textId="77777777" w:rsidR="00CD5158" w:rsidRDefault="00D62E86">
      <w:r>
        <w:rPr>
          <w:sz w:val="18"/>
        </w:rPr>
        <w:t>Comisión Europea AI Act Service Desk: https://ai-act-service-desk.ec.europa.eu/en/ai-act/article-73</w:t>
      </w:r>
    </w:p>
    <w:p w14:paraId="702AB028" w14:textId="77777777" w:rsidR="00CD5158" w:rsidRDefault="00D62E86">
      <w:r>
        <w:br w:type="page"/>
      </w:r>
    </w:p>
    <w:p w14:paraId="30B4E2BF" w14:textId="77777777" w:rsidR="00CD5158" w:rsidRDefault="00D62E86">
      <w:pPr>
        <w:pStyle w:val="Ttulo1"/>
      </w:pPr>
      <w:r>
        <w:t>9 Identificación y valoración inicial</w:t>
      </w:r>
    </w:p>
    <w:p w14:paraId="266B88BD" w14:textId="77777777" w:rsidR="00CD5158" w:rsidRDefault="00D62E86">
      <w:pPr>
        <w:spacing w:after="40"/>
      </w:pPr>
      <w:r>
        <w:rPr>
          <w:b/>
        </w:rPr>
        <w:t>Organización y registro</w:t>
      </w:r>
    </w:p>
    <w:p w14:paraId="06697BDA" w14:textId="77777777" w:rsidR="00CD5158" w:rsidRDefault="00D62E86">
      <w:pPr>
        <w:spacing w:after="200"/>
      </w:pPr>
      <w:sdt>
        <w:sdtPr>
          <w:alias w:val="Organización y registro"/>
          <w:tag w:val="Organización y registro"/>
          <w:id w:val="101"/>
          <w:text w:multiLine="1"/>
        </w:sdtPr>
        <w:sdtEndPr/>
        <w:sdtContent>
          <w:r>
            <w:t>[Organización, ID y referencias vinculadas]</w:t>
          </w:r>
        </w:sdtContent>
      </w:sdt>
    </w:p>
    <w:p w14:paraId="17C10EB9" w14:textId="77777777" w:rsidR="00CD5158" w:rsidRDefault="00D62E86">
      <w:pPr>
        <w:spacing w:after="40"/>
      </w:pPr>
      <w:r>
        <w:rPr>
          <w:b/>
        </w:rPr>
        <w:t>Detección y cobertura</w:t>
      </w:r>
    </w:p>
    <w:p w14:paraId="645E8F58" w14:textId="77777777" w:rsidR="00CD5158" w:rsidRDefault="00D62E86">
      <w:pPr>
        <w:spacing w:after="200"/>
      </w:pPr>
      <w:sdt>
        <w:sdtPr>
          <w:alias w:val="Detección y cobertura"/>
          <w:tag w:val="Detección y cobertura"/>
          <w:id w:val="102"/>
          <w:text w:multiLine="1"/>
        </w:sdtPr>
        <w:sdtEndPr/>
        <w:sdtContent>
          <w:r>
            <w:t>[Fecha, hora, zona horaria, detector y canal]</w:t>
          </w:r>
        </w:sdtContent>
      </w:sdt>
    </w:p>
    <w:p w14:paraId="1AAE0F65" w14:textId="77777777" w:rsidR="00CD5158" w:rsidRDefault="00D62E86">
      <w:pPr>
        <w:spacing w:after="40"/>
      </w:pPr>
      <w:r>
        <w:rPr>
          <w:b/>
        </w:rPr>
        <w:t>Sistema y uso</w:t>
      </w:r>
    </w:p>
    <w:p w14:paraId="229142CD" w14:textId="77777777" w:rsidR="00CD5158" w:rsidRDefault="00D62E86">
      <w:pPr>
        <w:spacing w:after="200"/>
      </w:pPr>
      <w:sdt>
        <w:sdtPr>
          <w:alias w:val="Sistema y uso"/>
          <w:tag w:val="Sistema y uso"/>
          <w:id w:val="103"/>
          <w:text w:multiLine="1"/>
        </w:sdtPr>
        <w:sdtEndPr/>
        <w:sdtContent>
          <w:r>
            <w:t>[Inventario, finalidad, versión y configuración]</w:t>
          </w:r>
        </w:sdtContent>
      </w:sdt>
    </w:p>
    <w:p w14:paraId="39BC7349" w14:textId="77777777" w:rsidR="00CD5158" w:rsidRDefault="00D62E86">
      <w:r>
        <w:rPr>
          <w:b/>
        </w:rPr>
        <w:t xml:space="preserve">Tipo inicial  </w:t>
      </w:r>
      <w:sdt>
        <w:sdtPr>
          <w:alias w:val="Tipo inicial Clasificación"/>
          <w:tag w:val="Tipo inicial Clasificación"/>
          <w:id w:val="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Clasificación   </w:t>
      </w:r>
      <w:sdt>
        <w:sdtPr>
          <w:alias w:val="Tipo inicial Datos"/>
          <w:tag w:val="Tipo inicial Datos"/>
          <w:id w:val="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Datos   </w:t>
      </w:r>
      <w:sdt>
        <w:sdtPr>
          <w:alias w:val="Tipo inicial Instrucciones maliciosas"/>
          <w:tag w:val="Tipo inicial Instrucciones maliciosas"/>
          <w:id w:val="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Instrucciones maliciosas   </w:t>
      </w:r>
      <w:sdt>
        <w:sdtPr>
          <w:alias w:val="Tipo inicial Otro"/>
          <w:tag w:val="Tipo inicial Otro"/>
          <w:id w:val="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Otro</w:t>
      </w:r>
    </w:p>
    <w:p w14:paraId="0D9F95EF" w14:textId="77777777" w:rsidR="00CD5158" w:rsidRDefault="00D62E86">
      <w:pPr>
        <w:spacing w:after="40"/>
      </w:pPr>
      <w:r>
        <w:rPr>
          <w:b/>
        </w:rPr>
        <w:t>Descripción de la señal</w:t>
      </w:r>
    </w:p>
    <w:p w14:paraId="3E47A035" w14:textId="77777777" w:rsidR="00CD5158" w:rsidRDefault="00D62E86">
      <w:pPr>
        <w:spacing w:after="200"/>
      </w:pPr>
      <w:sdt>
        <w:sdtPr>
          <w:alias w:val="Descripción de la señal"/>
          <w:tag w:val="Descripción de la señal"/>
          <w:id w:val="108"/>
          <w:text w:multiLine="1"/>
        </w:sdtPr>
        <w:sdtEndPr/>
        <w:sdtContent>
          <w:r>
            <w:t>[Qué ocurrió, evidencia y alcance conocido]</w:t>
          </w:r>
        </w:sdtContent>
      </w:sdt>
    </w:p>
    <w:p w14:paraId="5CD9D570" w14:textId="77777777" w:rsidR="00CD5158" w:rsidRDefault="00D62E86">
      <w:pPr>
        <w:spacing w:after="40"/>
      </w:pPr>
      <w:r>
        <w:rPr>
          <w:b/>
        </w:rPr>
        <w:t>Impactos confirmados y potenciales</w:t>
      </w:r>
    </w:p>
    <w:p w14:paraId="2BDE0EC4" w14:textId="77777777" w:rsidR="00CD5158" w:rsidRDefault="00D62E86">
      <w:pPr>
        <w:spacing w:after="200"/>
      </w:pPr>
      <w:sdt>
        <w:sdtPr>
          <w:alias w:val="Impactos confirmados y potenciales"/>
          <w:tag w:val="Impactos confirmados y potenciales"/>
          <w:id w:val="109"/>
          <w:text w:multiLine="1"/>
        </w:sdtPr>
        <w:sdtEndPr/>
        <w:sdtContent>
          <w:r>
            <w:t>[Separar hechos, posibles consecuencias y lo aún desconocido]</w:t>
          </w:r>
        </w:sdtContent>
      </w:sdt>
    </w:p>
    <w:p w14:paraId="00E95052" w14:textId="77777777" w:rsidR="00CD5158" w:rsidRDefault="00D62E86">
      <w:r>
        <w:rPr>
          <w:b/>
        </w:rPr>
        <w:t xml:space="preserve">Severidad propuesta  </w:t>
      </w:r>
      <w:sdt>
        <w:sdtPr>
          <w:alias w:val="Severidad propuesta S1"/>
          <w:tag w:val="Severidad propuesta S1"/>
          <w:id w:val="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S1   </w:t>
      </w:r>
      <w:sdt>
        <w:sdtPr>
          <w:alias w:val="Severidad propuesta S2"/>
          <w:tag w:val="Severidad propuesta S2"/>
          <w:id w:val="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S2   </w:t>
      </w:r>
      <w:sdt>
        <w:sdtPr>
          <w:alias w:val="Severidad propuesta S3"/>
          <w:tag w:val="Severidad propuesta S3"/>
          <w:id w:val="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S3   </w:t>
      </w:r>
      <w:sdt>
        <w:sdtPr>
          <w:alias w:val="Severidad propuesta Pendiente"/>
          <w:tag w:val="Severidad propuesta Pendiente"/>
          <w:id w:val="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Pendiente</w:t>
      </w:r>
    </w:p>
    <w:p w14:paraId="11BB0879" w14:textId="77777777" w:rsidR="00CD5158" w:rsidRDefault="00D62E86">
      <w:pPr>
        <w:spacing w:after="40"/>
      </w:pPr>
      <w:r>
        <w:rPr>
          <w:b/>
        </w:rPr>
        <w:t>Justificación y autoridad</w:t>
      </w:r>
    </w:p>
    <w:p w14:paraId="4F40C3A7" w14:textId="77777777" w:rsidR="00CD5158" w:rsidRDefault="00D62E86">
      <w:pPr>
        <w:spacing w:after="200"/>
      </w:pPr>
      <w:sdt>
        <w:sdtPr>
          <w:alias w:val="Justificación y autoridad"/>
          <w:tag w:val="Justificación y autoridad"/>
          <w:id w:val="114"/>
          <w:text w:multiLine="1"/>
        </w:sdtPr>
        <w:sdtEndPr/>
        <w:sdtContent>
          <w:r>
            <w:t>[Razón, revisor, responsable y próxima revisión]</w:t>
          </w:r>
        </w:sdtContent>
      </w:sdt>
    </w:p>
    <w:p w14:paraId="029EBDC5" w14:textId="77777777" w:rsidR="00CD5158" w:rsidRDefault="00D62E86">
      <w:r>
        <w:br w:type="page"/>
      </w:r>
    </w:p>
    <w:p w14:paraId="1EE2CD24" w14:textId="77777777" w:rsidR="00CD5158" w:rsidRDefault="00D62E86">
      <w:pPr>
        <w:pStyle w:val="Ttulo1"/>
      </w:pPr>
      <w:r>
        <w:t>10 Cronología contención y evidencias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7"/>
        <w:gridCol w:w="4592"/>
        <w:gridCol w:w="3458"/>
      </w:tblGrid>
      <w:tr w:rsidR="00CD5158" w14:paraId="748A6B08" w14:textId="77777777">
        <w:trPr>
          <w:cantSplit/>
          <w:tblHeader/>
          <w:jc w:val="center"/>
        </w:trPr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5476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DE495C0" w14:textId="77777777" w:rsidR="00CD5158" w:rsidRDefault="00D62E86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Hora y zona</w:t>
            </w:r>
          </w:p>
        </w:tc>
        <w:tc>
          <w:tcPr>
            <w:tcW w:w="4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5476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551D605" w14:textId="77777777" w:rsidR="00CD5158" w:rsidRDefault="00D62E86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Hecho o acción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5476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F8C4D9D" w14:textId="77777777" w:rsidR="00CD5158" w:rsidRDefault="00D62E86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Evidencia y límite</w:t>
            </w:r>
          </w:p>
        </w:tc>
      </w:tr>
      <w:tr w:rsidR="00CD5158" w14:paraId="779ABFD5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D38FA6E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[Hora]</w:t>
            </w:r>
          </w:p>
        </w:tc>
        <w:tc>
          <w:tcPr>
            <w:tcW w:w="4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DEC36CA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[Hecho observado]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9FE9B5B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[Fuente y limitación]</w:t>
            </w:r>
          </w:p>
        </w:tc>
      </w:tr>
      <w:tr w:rsidR="00CD5158" w14:paraId="509D46F4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6BE3D0D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[Hora]</w:t>
            </w:r>
          </w:p>
        </w:tc>
        <w:tc>
          <w:tcPr>
            <w:tcW w:w="4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B38DA23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[Detección]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F155651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[Fuente]</w:t>
            </w:r>
          </w:p>
        </w:tc>
      </w:tr>
      <w:tr w:rsidR="00CD5158" w14:paraId="280D4AC7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CB7DD33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[Hora]</w:t>
            </w:r>
          </w:p>
        </w:tc>
        <w:tc>
          <w:tcPr>
            <w:tcW w:w="4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4ADD034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[Actuación]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B19638F" w14:textId="77777777" w:rsidR="00CD5158" w:rsidRDefault="00D62E86">
            <w:pPr>
              <w:spacing w:before="60" w:after="60"/>
            </w:pPr>
            <w:r>
              <w:rPr>
                <w:sz w:val="20"/>
              </w:rPr>
              <w:t>[Comprobación y alcance]</w:t>
            </w:r>
          </w:p>
        </w:tc>
      </w:tr>
    </w:tbl>
    <w:p w14:paraId="20FA885D" w14:textId="77777777" w:rsidR="00CD5158" w:rsidRDefault="00CD5158"/>
    <w:p w14:paraId="464E29FB" w14:textId="77777777" w:rsidR="00CD5158" w:rsidRDefault="00D62E86">
      <w:pPr>
        <w:spacing w:after="40"/>
      </w:pPr>
      <w:r>
        <w:rPr>
          <w:b/>
        </w:rPr>
        <w:t>Medida de contención propuesta</w:t>
      </w:r>
    </w:p>
    <w:p w14:paraId="3FAD65FD" w14:textId="77777777" w:rsidR="00CD5158" w:rsidRDefault="00D62E86">
      <w:pPr>
        <w:spacing w:after="200"/>
      </w:pPr>
      <w:sdt>
        <w:sdtPr>
          <w:alias w:val="Medida de contención propuesta"/>
          <w:tag w:val="Medida de contención propuesta"/>
          <w:id w:val="115"/>
          <w:text w:multiLine="1"/>
        </w:sdtPr>
        <w:sdtEndPr/>
        <w:sdtContent>
          <w:r>
            <w:t>[Alcance, autoridad, hora, efecto y alternativa]</w:t>
          </w:r>
        </w:sdtContent>
      </w:sdt>
    </w:p>
    <w:p w14:paraId="7A2E72A6" w14:textId="77777777" w:rsidR="00CD5158" w:rsidRDefault="00D62E86">
      <w:pPr>
        <w:spacing w:after="40"/>
      </w:pPr>
      <w:r>
        <w:rPr>
          <w:b/>
        </w:rPr>
        <w:t>Inventario de evidencias</w:t>
      </w:r>
    </w:p>
    <w:p w14:paraId="62F13F0B" w14:textId="77777777" w:rsidR="00CD5158" w:rsidRDefault="00D62E86">
      <w:pPr>
        <w:spacing w:after="200"/>
      </w:pPr>
      <w:sdt>
        <w:sdtPr>
          <w:alias w:val="Inventario de evidencias"/>
          <w:tag w:val="Inventario de evidencias"/>
          <w:id w:val="116"/>
          <w:text w:multiLine="1"/>
        </w:sdtPr>
        <w:sdtEndPr/>
        <w:sdtContent>
          <w:r>
            <w:t>[Localizador, original, procedencia, acceso, integridad y conservación]</w:t>
          </w:r>
        </w:sdtContent>
      </w:sdt>
    </w:p>
    <w:p w14:paraId="5C0C62D5" w14:textId="77777777" w:rsidR="00CD5158" w:rsidRDefault="00D62E86">
      <w:pPr>
        <w:spacing w:after="40"/>
      </w:pPr>
      <w:r>
        <w:rPr>
          <w:b/>
        </w:rPr>
        <w:t>Alcance por investigar</w:t>
      </w:r>
    </w:p>
    <w:p w14:paraId="62387D6A" w14:textId="77777777" w:rsidR="00CD5158" w:rsidRDefault="00D62E86">
      <w:pPr>
        <w:spacing w:after="200"/>
      </w:pPr>
      <w:sdt>
        <w:sdtPr>
          <w:alias w:val="Alcance por investigar"/>
          <w:tag w:val="Alcance por investigar"/>
          <w:id w:val="117"/>
          <w:text w:multiLine="1"/>
        </w:sdtPr>
        <w:sdtEndPr/>
        <w:sdtContent>
          <w:r>
            <w:t>[Búsqueda de casos similares, ventana, inclusión y exclusiones]</w:t>
          </w:r>
        </w:sdtContent>
      </w:sdt>
    </w:p>
    <w:p w14:paraId="2C3024E6" w14:textId="77777777" w:rsidR="00CD5158" w:rsidRDefault="00D62E86">
      <w:pPr>
        <w:spacing w:after="40"/>
      </w:pPr>
      <w:r>
        <w:rPr>
          <w:b/>
        </w:rPr>
        <w:t>Continuidad y solicitudes abiertas</w:t>
      </w:r>
    </w:p>
    <w:p w14:paraId="4E0459C7" w14:textId="77777777" w:rsidR="00CD5158" w:rsidRDefault="00D62E86">
      <w:pPr>
        <w:spacing w:after="200"/>
      </w:pPr>
      <w:sdt>
        <w:sdtPr>
          <w:alias w:val="Continuidad y solicitudes abiertas"/>
          <w:tag w:val="Continuidad y solicitudes abiertas"/>
          <w:id w:val="118"/>
          <w:text w:multiLine="1"/>
        </w:sdtPr>
        <w:sdtEndPr/>
        <w:sdtContent>
          <w:r>
            <w:t>[Alternativa, capacidad, cobertura y enlaces]</w:t>
          </w:r>
        </w:sdtContent>
      </w:sdt>
    </w:p>
    <w:p w14:paraId="17F51969" w14:textId="77777777" w:rsidR="00CD5158" w:rsidRDefault="00D62E86">
      <w:r>
        <w:br w:type="page"/>
      </w:r>
    </w:p>
    <w:p w14:paraId="30DC9D20" w14:textId="77777777" w:rsidR="00CD5158" w:rsidRDefault="00D62E86">
      <w:pPr>
        <w:pStyle w:val="Ttulo1"/>
      </w:pPr>
      <w:r>
        <w:t>11 Hipótesis actuaciones y comunicación</w:t>
      </w:r>
    </w:p>
    <w:p w14:paraId="1A848F26" w14:textId="77777777" w:rsidR="00CD5158" w:rsidRDefault="00D62E86">
      <w:pPr>
        <w:spacing w:after="40"/>
      </w:pPr>
      <w:r>
        <w:rPr>
          <w:b/>
        </w:rPr>
        <w:t>Entrada y contexto</w:t>
      </w:r>
    </w:p>
    <w:p w14:paraId="6A7452F5" w14:textId="77777777" w:rsidR="00CD5158" w:rsidRDefault="00D62E86">
      <w:pPr>
        <w:spacing w:after="200"/>
      </w:pPr>
      <w:sdt>
        <w:sdtPr>
          <w:alias w:val="Entrada y contexto"/>
          <w:tag w:val="Entrada y contexto"/>
          <w:id w:val="119"/>
          <w:text w:multiLine="1"/>
        </w:sdtPr>
        <w:sdtEndPr/>
        <w:sdtContent>
          <w:r>
            <w:t>[Hipótesis, prueba, evidencia y resultado]</w:t>
          </w:r>
        </w:sdtContent>
      </w:sdt>
    </w:p>
    <w:p w14:paraId="0B9F7D04" w14:textId="77777777" w:rsidR="00CD5158" w:rsidRDefault="00D62E86">
      <w:pPr>
        <w:spacing w:after="40"/>
      </w:pPr>
      <w:r>
        <w:rPr>
          <w:b/>
        </w:rPr>
        <w:t>Modelo y configuración</w:t>
      </w:r>
    </w:p>
    <w:p w14:paraId="008BA72C" w14:textId="77777777" w:rsidR="00CD5158" w:rsidRDefault="00D62E86">
      <w:pPr>
        <w:spacing w:after="200"/>
      </w:pPr>
      <w:sdt>
        <w:sdtPr>
          <w:alias w:val="Modelo y configuración"/>
          <w:tag w:val="Modelo y configuración"/>
          <w:id w:val="120"/>
          <w:text w:multiLine="1"/>
        </w:sdtPr>
        <w:sdtEndPr/>
        <w:sdtContent>
          <w:r>
            <w:t>[Identificación efectiva y reproducción controlada]</w:t>
          </w:r>
        </w:sdtContent>
      </w:sdt>
    </w:p>
    <w:p w14:paraId="0898F69D" w14:textId="77777777" w:rsidR="00CD5158" w:rsidRDefault="00D62E86">
      <w:pPr>
        <w:spacing w:after="40"/>
      </w:pPr>
      <w:r>
        <w:rPr>
          <w:b/>
        </w:rPr>
        <w:t>Integración e interfaz</w:t>
      </w:r>
    </w:p>
    <w:p w14:paraId="6F399E47" w14:textId="77777777" w:rsidR="00CD5158" w:rsidRDefault="00D62E86">
      <w:pPr>
        <w:spacing w:after="200"/>
      </w:pPr>
      <w:sdt>
        <w:sdtPr>
          <w:alias w:val="Integración e interfaz"/>
          <w:tag w:val="Integración e interfaz"/>
          <w:id w:val="121"/>
          <w:text w:multiLine="1"/>
        </w:sdtPr>
        <w:sdtEndPr/>
        <w:sdtContent>
          <w:r>
            <w:t>[Mapeo, campos, reglas, avisos y revisión humana]</w:t>
          </w:r>
        </w:sdtContent>
      </w:sdt>
    </w:p>
    <w:p w14:paraId="107A0CCF" w14:textId="77777777" w:rsidR="00CD5158" w:rsidRDefault="00D62E86">
      <w:pPr>
        <w:spacing w:after="40"/>
      </w:pPr>
      <w:r>
        <w:rPr>
          <w:b/>
        </w:rPr>
        <w:t>Actuaciones y gestión del cambio</w:t>
      </w:r>
    </w:p>
    <w:p w14:paraId="354A1892" w14:textId="77777777" w:rsidR="00CD5158" w:rsidRDefault="00D62E86">
      <w:pPr>
        <w:spacing w:after="200"/>
      </w:pPr>
      <w:sdt>
        <w:sdtPr>
          <w:alias w:val="Actuaciones y gestión del cambio"/>
          <w:tag w:val="Actuaciones y gestión del cambio"/>
          <w:id w:val="122"/>
          <w:text w:multiLine="1"/>
        </w:sdtPr>
        <w:sdtEndPr/>
        <w:sdtContent>
          <w:r>
            <w:t>[Tipo, causa, requisito, responsable, plazo y CAM-001]</w:t>
          </w:r>
        </w:sdtContent>
      </w:sdt>
    </w:p>
    <w:p w14:paraId="769D7BCB" w14:textId="77777777" w:rsidR="00CD5158" w:rsidRDefault="00D62E86">
      <w:pPr>
        <w:spacing w:after="40"/>
      </w:pPr>
      <w:r>
        <w:rPr>
          <w:b/>
        </w:rPr>
        <w:t>Matriz de comunicación</w:t>
      </w:r>
    </w:p>
    <w:p w14:paraId="12A30406" w14:textId="77777777" w:rsidR="00CD5158" w:rsidRDefault="00D62E86">
      <w:pPr>
        <w:spacing w:after="200"/>
      </w:pPr>
      <w:sdt>
        <w:sdtPr>
          <w:alias w:val="Matriz de comunicación"/>
          <w:tag w:val="Matriz de comunicación"/>
          <w:id w:val="123"/>
          <w:text w:multiLine="1"/>
        </w:sdtPr>
        <w:sdtEndPr/>
        <w:sdtContent>
          <w:r>
            <w:t>[Destinatario, desencadenante, responsable, aprobador, canal, plazo y envío]</w:t>
          </w:r>
        </w:sdtContent>
      </w:sdt>
    </w:p>
    <w:p w14:paraId="12DE159A" w14:textId="77777777" w:rsidR="00CD5158" w:rsidRDefault="00D62E86">
      <w:pPr>
        <w:spacing w:after="40"/>
      </w:pPr>
      <w:r>
        <w:rPr>
          <w:b/>
        </w:rPr>
        <w:t>Borrador de mensaje interno</w:t>
      </w:r>
    </w:p>
    <w:p w14:paraId="6CEF69FE" w14:textId="77777777" w:rsidR="00CD5158" w:rsidRDefault="00D62E86">
      <w:pPr>
        <w:spacing w:after="200"/>
      </w:pPr>
      <w:sdt>
        <w:sdtPr>
          <w:alias w:val="Borrador de mensaje interno"/>
          <w:tag w:val="Borrador de mensaje interno"/>
          <w:id w:val="124"/>
          <w:text w:multiLine="1"/>
        </w:sdtPr>
        <w:sdtEndPr/>
        <w:sdtContent>
          <w:r>
            <w:t>[Hechos, pendientes, actuación y siguiente actualización]</w:t>
          </w:r>
        </w:sdtContent>
      </w:sdt>
    </w:p>
    <w:p w14:paraId="37C22631" w14:textId="77777777" w:rsidR="00CD5158" w:rsidRDefault="00D62E86">
      <w:r>
        <w:br w:type="page"/>
      </w:r>
    </w:p>
    <w:p w14:paraId="2E3FF573" w14:textId="77777777" w:rsidR="00CD5158" w:rsidRDefault="00D62E86">
      <w:pPr>
        <w:pStyle w:val="Ttulo1"/>
      </w:pPr>
      <w:r>
        <w:t>12 Recuperación eficacia y cierre</w:t>
      </w:r>
    </w:p>
    <w:p w14:paraId="66B819D6" w14:textId="77777777" w:rsidR="00CD5158" w:rsidRDefault="00D62E86">
      <w:pPr>
        <w:spacing w:after="40"/>
      </w:pPr>
      <w:r>
        <w:rPr>
          <w:b/>
        </w:rPr>
        <w:t>Criterios previos de recuperación</w:t>
      </w:r>
    </w:p>
    <w:p w14:paraId="3FC41782" w14:textId="77777777" w:rsidR="00CD5158" w:rsidRDefault="00D62E86">
      <w:pPr>
        <w:spacing w:after="200"/>
      </w:pPr>
      <w:sdt>
        <w:sdtPr>
          <w:alias w:val="Criterios previos de recuperación"/>
          <w:tag w:val="Criterios previos de recuperación"/>
          <w:id w:val="125"/>
          <w:text w:multiLine="1"/>
        </w:sdtPr>
        <w:sdtEndPr/>
        <w:sdtContent>
          <w:r>
            <w:t>[Casos, referencia, regresión, cobertura y condiciones]</w:t>
          </w:r>
        </w:sdtContent>
      </w:sdt>
    </w:p>
    <w:p w14:paraId="60C6BE3A" w14:textId="77777777" w:rsidR="00CD5158" w:rsidRDefault="00D62E86">
      <w:r>
        <w:rPr>
          <w:b/>
        </w:rPr>
        <w:t xml:space="preserve">Decisión de recuperación  </w:t>
      </w:r>
      <w:sdt>
        <w:sdtPr>
          <w:alias w:val="Decisión de recuperación Autorizada"/>
          <w:tag w:val="Decisión de recuperación Autorizada"/>
          <w:id w:val="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Autorizada   </w:t>
      </w:r>
      <w:sdt>
        <w:sdtPr>
          <w:alias w:val="Decisión de recuperación Condicionada"/>
          <w:tag w:val="Decisión de recuperación Condicionada"/>
          <w:id w:val="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Condicionada   </w:t>
      </w:r>
      <w:sdt>
        <w:sdtPr>
          <w:alias w:val="Decisión de recuperación No autorizada"/>
          <w:tag w:val="Decisión de recuperación No autorizada"/>
          <w:id w:val="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No autorizada   </w:t>
      </w:r>
      <w:sdt>
        <w:sdtPr>
          <w:alias w:val="Decisión de recuperación Pendiente"/>
          <w:tag w:val="Decisión de recuperación Pendiente"/>
          <w:id w:val="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Pendiente</w:t>
      </w:r>
    </w:p>
    <w:p w14:paraId="437C9568" w14:textId="77777777" w:rsidR="00CD5158" w:rsidRDefault="00D62E86">
      <w:pPr>
        <w:spacing w:after="40"/>
      </w:pPr>
      <w:r>
        <w:rPr>
          <w:b/>
        </w:rPr>
        <w:t>Autoridad y evidencia de decisión</w:t>
      </w:r>
    </w:p>
    <w:p w14:paraId="1D7C848F" w14:textId="77777777" w:rsidR="00CD5158" w:rsidRDefault="00D62E86">
      <w:pPr>
        <w:spacing w:after="200"/>
      </w:pPr>
      <w:sdt>
        <w:sdtPr>
          <w:alias w:val="Autoridad y evidencia de decisión"/>
          <w:tag w:val="Autoridad y evidencia de decisión"/>
          <w:id w:val="130"/>
          <w:text w:multiLine="1"/>
        </w:sdtPr>
        <w:sdtEndPr/>
        <w:sdtContent>
          <w:r>
            <w:t>[Quién decide, fecha, alcance y evidencia]</w:t>
          </w:r>
        </w:sdtContent>
      </w:sdt>
    </w:p>
    <w:p w14:paraId="4CF62A41" w14:textId="77777777" w:rsidR="00CD5158" w:rsidRDefault="00D62E86">
      <w:pPr>
        <w:spacing w:after="40"/>
      </w:pPr>
      <w:r>
        <w:rPr>
          <w:b/>
        </w:rPr>
        <w:t>Comprobación de eficacia</w:t>
      </w:r>
    </w:p>
    <w:p w14:paraId="1ABFE452" w14:textId="77777777" w:rsidR="00CD5158" w:rsidRDefault="00D62E86">
      <w:pPr>
        <w:spacing w:after="200"/>
      </w:pPr>
      <w:sdt>
        <w:sdtPr>
          <w:alias w:val="Comprobación de eficacia"/>
          <w:tag w:val="Comprobación de eficacia"/>
          <w:id w:val="131"/>
          <w:text w:multiLine="1"/>
        </w:sdtPr>
        <w:sdtEndPr/>
        <w:sdtContent>
          <w:r>
            <w:t>[Problema, indicador, cobertura, ventana, criterio y resultado]</w:t>
          </w:r>
        </w:sdtContent>
      </w:sdt>
    </w:p>
    <w:p w14:paraId="4EA6D60F" w14:textId="77777777" w:rsidR="00CD5158" w:rsidRDefault="00D62E86">
      <w:pPr>
        <w:spacing w:after="40"/>
      </w:pPr>
      <w:r>
        <w:rPr>
          <w:b/>
        </w:rPr>
        <w:t>Estados separados</w:t>
      </w:r>
    </w:p>
    <w:p w14:paraId="716EE718" w14:textId="77777777" w:rsidR="00CD5158" w:rsidRDefault="00D62E86">
      <w:pPr>
        <w:spacing w:after="200"/>
      </w:pPr>
      <w:sdt>
        <w:sdtPr>
          <w:alias w:val="Estados separados"/>
          <w:tag w:val="Estados separados"/>
          <w:id w:val="132"/>
          <w:text w:multiLine="1"/>
        </w:sdtPr>
        <w:sdtEndPr/>
        <w:sdtContent>
          <w:r>
            <w:t>[Servicio, investigación, comunicación y eficacia]</w:t>
          </w:r>
        </w:sdtContent>
      </w:sdt>
    </w:p>
    <w:p w14:paraId="46A48844" w14:textId="77777777" w:rsidR="00CD5158" w:rsidRDefault="00D62E86">
      <w:pPr>
        <w:spacing w:after="40"/>
      </w:pPr>
      <w:r>
        <w:rPr>
          <w:b/>
        </w:rPr>
        <w:t>Riesgos e impactos</w:t>
      </w:r>
    </w:p>
    <w:p w14:paraId="310C7EFB" w14:textId="77777777" w:rsidR="00CD5158" w:rsidRDefault="00D62E86">
      <w:pPr>
        <w:spacing w:after="200"/>
      </w:pPr>
      <w:sdt>
        <w:sdtPr>
          <w:alias w:val="Riesgos e impactos"/>
          <w:tag w:val="Riesgos e impactos"/>
          <w:id w:val="133"/>
          <w:text w:multiLine="1"/>
        </w:sdtPr>
        <w:sdtEndPr/>
        <w:sdtContent>
          <w:r>
            <w:t>[Qué revisar, evidencia y justificación de cambios]</w:t>
          </w:r>
        </w:sdtContent>
      </w:sdt>
    </w:p>
    <w:p w14:paraId="47703AB3" w14:textId="77777777" w:rsidR="00CD5158" w:rsidRDefault="00D62E86">
      <w:pPr>
        <w:spacing w:after="40"/>
      </w:pPr>
      <w:r>
        <w:rPr>
          <w:b/>
        </w:rPr>
        <w:t>Pendientes y siguiente revisión</w:t>
      </w:r>
    </w:p>
    <w:p w14:paraId="3788C4DD" w14:textId="77777777" w:rsidR="00CD5158" w:rsidRDefault="00D62E86">
      <w:pPr>
        <w:spacing w:after="200"/>
      </w:pPr>
      <w:sdt>
        <w:sdtPr>
          <w:alias w:val="Pendientes y siguiente revisión"/>
          <w:tag w:val="Pendientes y siguiente revisión"/>
          <w:id w:val="134"/>
          <w:text w:multiLine="1"/>
        </w:sdtPr>
        <w:sdtEndPr/>
        <w:sdtContent>
          <w:r>
            <w:t>[Pendiente, responsable, plazo y evidencia requerida]</w:t>
          </w:r>
        </w:sdtContent>
      </w:sdt>
    </w:p>
    <w:p w14:paraId="14F511FA" w14:textId="77777777" w:rsidR="00CD5158" w:rsidRDefault="00D62E86">
      <w:r>
        <w:rPr>
          <w:b/>
        </w:rPr>
        <w:t xml:space="preserve">Cierre del expediente  </w:t>
      </w:r>
      <w:sdt>
        <w:sdtPr>
          <w:alias w:val="Cierre del expediente Cerrado"/>
          <w:tag w:val="Cierre del expediente Cerrado"/>
          <w:id w:val="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Cerrado   </w:t>
      </w:r>
      <w:sdt>
        <w:sdtPr>
          <w:alias w:val="Cierre del expediente Cierre parcial"/>
          <w:tag w:val="Cierre del expediente Cierre parcial"/>
          <w:id w:val="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Cierre parcial   </w:t>
      </w:r>
      <w:sdt>
        <w:sdtPr>
          <w:alias w:val="Cierre del expediente Abierto"/>
          <w:tag w:val="Cierre del expediente Abierto"/>
          <w:id w:val="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t xml:space="preserve"> Abierto</w:t>
      </w:r>
    </w:p>
    <w:p w14:paraId="18BF666F" w14:textId="77777777" w:rsidR="00CD5158" w:rsidRDefault="00D62E86">
      <w:pPr>
        <w:spacing w:after="40"/>
      </w:pPr>
      <w:r>
        <w:rPr>
          <w:b/>
        </w:rPr>
        <w:t>Decisión de cierre</w:t>
      </w:r>
    </w:p>
    <w:p w14:paraId="01C97629" w14:textId="77777777" w:rsidR="00CD5158" w:rsidRDefault="00D62E86">
      <w:pPr>
        <w:spacing w:after="200"/>
      </w:pPr>
      <w:sdt>
        <w:sdtPr>
          <w:alias w:val="Decisión de cierre"/>
          <w:tag w:val="Decisión de cierre"/>
          <w:id w:val="138"/>
          <w:text w:multiLine="1"/>
        </w:sdtPr>
        <w:sdtEndPr/>
        <w:sdtContent>
          <w:r>
            <w:t>[Autoridad, fecha, justificación y documentos vinculados]</w:t>
          </w:r>
        </w:sdtContent>
      </w:sdt>
    </w:p>
    <w:p w14:paraId="28C6C176" w14:textId="77777777" w:rsidR="00CD5158" w:rsidRDefault="00D62E86">
      <w:pPr>
        <w:pStyle w:val="Ttulo1"/>
        <w:pageBreakBefore/>
        <w:spacing w:before="0" w:after="100" w:line="250" w:lineRule="auto"/>
      </w:pPr>
      <w:r>
        <w:rPr>
          <w:rFonts w:ascii="Arial" w:hAnsi="Arial"/>
        </w:rPr>
        <w:t>13 Dictamen de notificación externa</w:t>
      </w:r>
    </w:p>
    <w:p w14:paraId="6BF8990B" w14:textId="77777777" w:rsidR="00CD5158" w:rsidRDefault="00D62E86">
      <w:pPr>
        <w:spacing w:line="250" w:lineRule="auto"/>
      </w:pPr>
      <w:r>
        <w:t>Una ficha por obligación y destinatario. Duplica la tabla cuando corresponda. Registra también decisiones negativas y pendientes.</w:t>
      </w:r>
    </w:p>
    <w:tbl>
      <w:tblPr>
        <w:tblW w:w="9638" w:type="dxa"/>
        <w:tblInd w:w="12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00" w:type="dxa"/>
          <w:left w:w="125" w:type="dxa"/>
          <w:bottom w:w="100" w:type="dxa"/>
          <w:right w:w="125" w:type="dxa"/>
        </w:tblCellMar>
        <w:tblLook w:val="04A0" w:firstRow="1" w:lastRow="0" w:firstColumn="1" w:lastColumn="0" w:noHBand="0" w:noVBand="1"/>
      </w:tblPr>
      <w:tblGrid>
        <w:gridCol w:w="2260"/>
        <w:gridCol w:w="7378"/>
      </w:tblGrid>
      <w:tr w:rsidR="00CD5158" w14:paraId="54BCEA4D" w14:textId="77777777">
        <w:trPr>
          <w:cantSplit/>
          <w:trHeight w:val="780"/>
        </w:trPr>
        <w:tc>
          <w:tcPr>
            <w:tcW w:w="2260" w:type="dxa"/>
            <w:shd w:val="clear" w:color="auto" w:fill="F2F5F7"/>
            <w:vAlign w:val="center"/>
          </w:tcPr>
          <w:p w14:paraId="3B142F49" w14:textId="77777777" w:rsidR="00CD5158" w:rsidRDefault="00D62E86">
            <w:pPr>
              <w:spacing w:after="0" w:line="250" w:lineRule="auto"/>
            </w:pPr>
            <w:r>
              <w:rPr>
                <w:b/>
                <w:sz w:val="21"/>
              </w:rPr>
              <w:t>Marco y obligación</w:t>
            </w:r>
          </w:p>
        </w:tc>
        <w:tc>
          <w:tcPr>
            <w:tcW w:w="7378" w:type="dxa"/>
            <w:vAlign w:val="center"/>
          </w:tcPr>
          <w:p w14:paraId="1066D9C4" w14:textId="77777777" w:rsidR="00CD5158" w:rsidRDefault="00D62E86">
            <w:pPr>
              <w:spacing w:after="0" w:line="250" w:lineRule="auto"/>
            </w:pPr>
            <w:sdt>
              <w:sdtPr>
                <w:alias w:val="Marco y obligación"/>
                <w:tag w:val="q32Routes.obligation"/>
                <w:id w:val="10001"/>
                <w:text w:multiLine="1"/>
              </w:sdtPr>
              <w:sdtEndPr/>
              <w:sdtContent>
                <w:r>
                  <w:rPr>
                    <w:sz w:val="21"/>
                  </w:rPr>
                  <w:t>[Marco, artículo o cláusula; fuente, versión, fecha y persona que verifica]</w:t>
                </w:r>
              </w:sdtContent>
            </w:sdt>
          </w:p>
        </w:tc>
      </w:tr>
      <w:tr w:rsidR="00CD5158" w14:paraId="22B6A919" w14:textId="77777777">
        <w:trPr>
          <w:cantSplit/>
          <w:trHeight w:val="780"/>
        </w:trPr>
        <w:tc>
          <w:tcPr>
            <w:tcW w:w="2260" w:type="dxa"/>
            <w:shd w:val="clear" w:color="auto" w:fill="F2F5F7"/>
            <w:vAlign w:val="center"/>
          </w:tcPr>
          <w:p w14:paraId="6E756B5B" w14:textId="77777777" w:rsidR="00CD5158" w:rsidRDefault="00D62E86">
            <w:pPr>
              <w:spacing w:after="0" w:line="250" w:lineRule="auto"/>
            </w:pPr>
            <w:r>
              <w:rPr>
                <w:b/>
                <w:sz w:val="21"/>
              </w:rPr>
              <w:t>Rol ámbito y hechos</w:t>
            </w:r>
          </w:p>
        </w:tc>
        <w:tc>
          <w:tcPr>
            <w:tcW w:w="7378" w:type="dxa"/>
            <w:vAlign w:val="center"/>
          </w:tcPr>
          <w:p w14:paraId="29A464AA" w14:textId="77777777" w:rsidR="00CD5158" w:rsidRDefault="00D62E86">
            <w:pPr>
              <w:spacing w:after="0" w:line="250" w:lineRule="auto"/>
            </w:pPr>
            <w:sdt>
              <w:sdtPr>
                <w:alias w:val="Rol ámbito y hechos"/>
                <w:tag w:val="q32Routes.scope"/>
                <w:id w:val="10002"/>
                <w:text w:multiLine="1"/>
              </w:sdtPr>
              <w:sdtEndPr/>
              <w:sdtContent>
                <w:r>
                  <w:rPr>
                    <w:sz w:val="21"/>
                  </w:rPr>
                  <w:t>[Uso y clasificación; rol de cada parte; hechos desencadenantes y pendientes; fecha, transitorios y calendario aplicables]</w:t>
                </w:r>
              </w:sdtContent>
            </w:sdt>
          </w:p>
        </w:tc>
      </w:tr>
      <w:tr w:rsidR="00CD5158" w14:paraId="47BF4DA5" w14:textId="77777777">
        <w:trPr>
          <w:cantSplit/>
          <w:trHeight w:val="780"/>
        </w:trPr>
        <w:tc>
          <w:tcPr>
            <w:tcW w:w="2260" w:type="dxa"/>
            <w:shd w:val="clear" w:color="auto" w:fill="F2F5F7"/>
            <w:vAlign w:val="center"/>
          </w:tcPr>
          <w:p w14:paraId="5481E7AB" w14:textId="77777777" w:rsidR="00CD5158" w:rsidRDefault="00D62E86">
            <w:pPr>
              <w:spacing w:after="0" w:line="250" w:lineRule="auto"/>
            </w:pPr>
            <w:r>
              <w:rPr>
                <w:b/>
                <w:sz w:val="21"/>
              </w:rPr>
              <w:t>Dictamen y motivo</w:t>
            </w:r>
          </w:p>
        </w:tc>
        <w:tc>
          <w:tcPr>
            <w:tcW w:w="7378" w:type="dxa"/>
            <w:vAlign w:val="center"/>
          </w:tcPr>
          <w:p w14:paraId="16A15ED2" w14:textId="77777777" w:rsidR="00CD5158" w:rsidRDefault="00D62E86">
            <w:pPr>
              <w:spacing w:after="0" w:line="250" w:lineRule="auto"/>
            </w:pPr>
            <w:sdt>
              <w:sdtPr>
                <w:alias w:val="Dictamen y motivo"/>
                <w:tag w:val="q32Routes.decision"/>
                <w:id w:val="10003"/>
                <w:text w:multiLine="1"/>
              </w:sdtPr>
              <w:sdtEndPr/>
              <w:sdtContent>
                <w:r>
                  <w:rPr>
                    <w:sz w:val="21"/>
                  </w:rPr>
                  <w:t>[Procede / No procede / Pendiente. Justificación, evidencia y comprobación urgente si queda pendiente]</w:t>
                </w:r>
              </w:sdtContent>
            </w:sdt>
          </w:p>
        </w:tc>
      </w:tr>
      <w:tr w:rsidR="00CD5158" w14:paraId="13F1B947" w14:textId="77777777">
        <w:trPr>
          <w:cantSplit/>
          <w:trHeight w:val="780"/>
        </w:trPr>
        <w:tc>
          <w:tcPr>
            <w:tcW w:w="2260" w:type="dxa"/>
            <w:shd w:val="clear" w:color="auto" w:fill="F2F5F7"/>
            <w:vAlign w:val="center"/>
          </w:tcPr>
          <w:p w14:paraId="111284FE" w14:textId="77777777" w:rsidR="00CD5158" w:rsidRDefault="00D62E86">
            <w:pPr>
              <w:spacing w:after="0" w:line="250" w:lineRule="auto"/>
            </w:pPr>
            <w:r>
              <w:rPr>
                <w:b/>
                <w:sz w:val="21"/>
              </w:rPr>
              <w:t>Reloj y límite</w:t>
            </w:r>
          </w:p>
        </w:tc>
        <w:tc>
          <w:tcPr>
            <w:tcW w:w="7378" w:type="dxa"/>
            <w:vAlign w:val="center"/>
          </w:tcPr>
          <w:p w14:paraId="0E84B3C8" w14:textId="77777777" w:rsidR="00CD5158" w:rsidRDefault="00D62E86">
            <w:pPr>
              <w:spacing w:after="0" w:line="250" w:lineRule="auto"/>
            </w:pPr>
            <w:sdt>
              <w:sdtPr>
                <w:alias w:val="Reloj y límite"/>
                <w:tag w:val="q32Routes.clock"/>
                <w:id w:val="10004"/>
                <w:text w:multiLine="1"/>
              </w:sdtPr>
              <w:sdtEndPr/>
              <w:sdtContent>
                <w:r>
                  <w:rPr>
                    <w:sz w:val="21"/>
                  </w:rPr>
                  <w:t>[Conocimiento: fecha, hora y zona. Desencadenante legal o contractual; plazo, cálculo y fecha hora límite; reloj aún no determinable con motivo]</w:t>
                </w:r>
              </w:sdtContent>
            </w:sdt>
          </w:p>
        </w:tc>
      </w:tr>
      <w:tr w:rsidR="00CD5158" w14:paraId="594FFBE4" w14:textId="77777777">
        <w:trPr>
          <w:cantSplit/>
          <w:trHeight w:val="780"/>
        </w:trPr>
        <w:tc>
          <w:tcPr>
            <w:tcW w:w="2260" w:type="dxa"/>
            <w:shd w:val="clear" w:color="auto" w:fill="F2F5F7"/>
            <w:vAlign w:val="center"/>
          </w:tcPr>
          <w:p w14:paraId="3B5DA66B" w14:textId="77777777" w:rsidR="00CD5158" w:rsidRDefault="00D62E86">
            <w:pPr>
              <w:spacing w:after="0" w:line="250" w:lineRule="auto"/>
            </w:pPr>
            <w:r>
              <w:rPr>
                <w:b/>
                <w:sz w:val="21"/>
              </w:rPr>
              <w:t>Destinatario y canal</w:t>
            </w:r>
          </w:p>
        </w:tc>
        <w:tc>
          <w:tcPr>
            <w:tcW w:w="7378" w:type="dxa"/>
            <w:vAlign w:val="center"/>
          </w:tcPr>
          <w:p w14:paraId="12C6379B" w14:textId="77777777" w:rsidR="00CD5158" w:rsidRDefault="00D62E86">
            <w:pPr>
              <w:spacing w:after="0" w:line="250" w:lineRule="auto"/>
            </w:pPr>
            <w:sdt>
              <w:sdtPr>
                <w:alias w:val="Destinatario y canal"/>
                <w:tag w:val="q32Routes.recipient"/>
                <w:id w:val="10005"/>
                <w:text w:multiLine="1"/>
              </w:sdtPr>
              <w:sdtEndPr/>
              <w:sdtContent>
                <w:r>
                  <w:rPr>
                    <w:sz w:val="21"/>
                  </w:rPr>
                  <w:t>[Destinatario competente; canal oficial o contractual verificado; fuente y contacto de respaldo]</w:t>
                </w:r>
              </w:sdtContent>
            </w:sdt>
          </w:p>
        </w:tc>
      </w:tr>
      <w:tr w:rsidR="00CD5158" w14:paraId="1548B33C" w14:textId="77777777">
        <w:trPr>
          <w:cantSplit/>
          <w:trHeight w:val="780"/>
        </w:trPr>
        <w:tc>
          <w:tcPr>
            <w:tcW w:w="2260" w:type="dxa"/>
            <w:shd w:val="clear" w:color="auto" w:fill="F2F5F7"/>
            <w:vAlign w:val="center"/>
          </w:tcPr>
          <w:p w14:paraId="6C7F37B6" w14:textId="77777777" w:rsidR="00CD5158" w:rsidRDefault="00D62E86">
            <w:pPr>
              <w:spacing w:after="0" w:line="250" w:lineRule="auto"/>
            </w:pPr>
            <w:r>
              <w:rPr>
                <w:b/>
                <w:sz w:val="21"/>
              </w:rPr>
              <w:t>Evaluación y autoridad</w:t>
            </w:r>
          </w:p>
        </w:tc>
        <w:tc>
          <w:tcPr>
            <w:tcW w:w="7378" w:type="dxa"/>
            <w:vAlign w:val="center"/>
          </w:tcPr>
          <w:p w14:paraId="678931CF" w14:textId="77777777" w:rsidR="00CD5158" w:rsidRDefault="00D62E86">
            <w:pPr>
              <w:spacing w:after="0" w:line="250" w:lineRule="auto"/>
            </w:pPr>
            <w:sdt>
              <w:sdtPr>
                <w:alias w:val="Evaluación y autoridad"/>
                <w:tag w:val="q32Routes.owner"/>
                <w:id w:val="10006"/>
                <w:text w:multiLine="1"/>
              </w:sdtPr>
              <w:sdtEndPr/>
              <w:sdtContent>
                <w:r>
                  <w:rPr>
                    <w:sz w:val="21"/>
                  </w:rPr>
                  <w:t>[Función y persona evaluadora; autoridad que decide o aprueba; fecha de evaluación y decisión; suplencia]</w:t>
                </w:r>
              </w:sdtContent>
            </w:sdt>
          </w:p>
        </w:tc>
      </w:tr>
      <w:tr w:rsidR="00CD5158" w14:paraId="07DC7B44" w14:textId="77777777">
        <w:trPr>
          <w:cantSplit/>
          <w:trHeight w:val="780"/>
        </w:trPr>
        <w:tc>
          <w:tcPr>
            <w:tcW w:w="2260" w:type="dxa"/>
            <w:shd w:val="clear" w:color="auto" w:fill="F2F5F7"/>
            <w:vAlign w:val="center"/>
          </w:tcPr>
          <w:p w14:paraId="2110C0E4" w14:textId="77777777" w:rsidR="00CD5158" w:rsidRDefault="00D62E86">
            <w:pPr>
              <w:spacing w:after="0" w:line="250" w:lineRule="auto"/>
            </w:pPr>
            <w:r>
              <w:rPr>
                <w:b/>
                <w:sz w:val="21"/>
              </w:rPr>
              <w:t>Estado prueba y revisión</w:t>
            </w:r>
          </w:p>
        </w:tc>
        <w:tc>
          <w:tcPr>
            <w:tcW w:w="7378" w:type="dxa"/>
            <w:vAlign w:val="center"/>
          </w:tcPr>
          <w:p w14:paraId="1AC4B83B" w14:textId="77777777" w:rsidR="00CD5158" w:rsidRDefault="00D62E86">
            <w:pPr>
              <w:spacing w:after="0" w:line="250" w:lineRule="auto"/>
            </w:pPr>
            <w:sdt>
              <w:sdtPr>
                <w:alias w:val="Estado prueba y revisión"/>
                <w:tag w:val="q32Routes.proof"/>
                <w:id w:val="10007"/>
                <w:text w:multiLine="1"/>
              </w:sdtPr>
              <w:sdtEndPr/>
              <w:sdtContent>
                <w:r>
                  <w:rPr>
                    <w:sz w:val="21"/>
                  </w:rPr>
                  <w:t>[Borrador / aprobado / enviado / acuse / actualización pendiente. Fecha, contenido y localizador de prueba o motivo de no envío. Próxima revisión, responsable y plazo]</w:t>
                </w:r>
              </w:sdtContent>
            </w:sdt>
          </w:p>
        </w:tc>
      </w:tr>
    </w:tbl>
    <w:p w14:paraId="30718C49" w14:textId="77777777" w:rsidR="00CD5158" w:rsidRDefault="00D62E86">
      <w:pPr>
        <w:spacing w:before="120" w:after="90" w:line="250" w:lineRule="auto"/>
      </w:pPr>
      <w:r>
        <w:rPr>
          <w:sz w:val="21"/>
        </w:rPr>
        <w:t>Comprueba desde el triaje rol, uso, hechos y calendario. La severidad interna no determina el dictamen jurídico. No esperes la causa raíz para evaluar un aviso que ya corresponda.</w:t>
      </w:r>
    </w:p>
    <w:p w14:paraId="0F1FA949" w14:textId="77777777" w:rsidR="00CD5158" w:rsidRDefault="00D62E86">
      <w:pPr>
        <w:spacing w:after="80" w:line="250" w:lineRule="auto"/>
      </w:pPr>
      <w:r>
        <w:rPr>
          <w:sz w:val="20"/>
        </w:rPr>
        <w:t>Referencia de calendario del contraste de 16/10/2026: el art. 113 consolidado distingue las secciones 1 a 3 del capítulo III desde 02/12/2027 para art. 6.2 y desde 02/08/2028 para art. 6.1. Verifica el supuesto y los transitorios; esas fechas no se trasladan a todo el Reglamento, al RGPD ni a contratos.</w:t>
      </w:r>
    </w:p>
    <w:p w14:paraId="4CAE040D" w14:textId="77777777" w:rsidR="00CD5158" w:rsidRDefault="00D62E86">
      <w:pPr>
        <w:pStyle w:val="Ttulo1"/>
        <w:pageBreakBefore/>
        <w:spacing w:before="0" w:after="100" w:line="250" w:lineRule="auto"/>
      </w:pPr>
      <w:r>
        <w:rPr>
          <w:rFonts w:ascii="Arial" w:hAnsi="Arial"/>
        </w:rPr>
        <w:t>14 Inventario operativo de registros</w:t>
      </w:r>
    </w:p>
    <w:p w14:paraId="4ADE38D8" w14:textId="77777777" w:rsidR="00CD5158" w:rsidRDefault="00D62E86">
      <w:pPr>
        <w:spacing w:line="250" w:lineRule="auto"/>
      </w:pPr>
      <w:r>
        <w:t>Una ficha por tipo de registro. Duplica la tabla para nuevos registros. Conserva originales pertinentes y localizadores seguros.</w:t>
      </w:r>
    </w:p>
    <w:tbl>
      <w:tblPr>
        <w:tblW w:w="9638" w:type="dxa"/>
        <w:tblInd w:w="12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00" w:type="dxa"/>
          <w:left w:w="125" w:type="dxa"/>
          <w:bottom w:w="100" w:type="dxa"/>
          <w:right w:w="125" w:type="dxa"/>
        </w:tblCellMar>
        <w:tblLook w:val="04A0" w:firstRow="1" w:lastRow="0" w:firstColumn="1" w:lastColumn="0" w:noHBand="0" w:noVBand="1"/>
      </w:tblPr>
      <w:tblGrid>
        <w:gridCol w:w="2260"/>
        <w:gridCol w:w="7378"/>
      </w:tblGrid>
      <w:tr w:rsidR="00CD5158" w14:paraId="11F0B988" w14:textId="77777777">
        <w:trPr>
          <w:cantSplit/>
          <w:trHeight w:val="780"/>
        </w:trPr>
        <w:tc>
          <w:tcPr>
            <w:tcW w:w="2260" w:type="dxa"/>
            <w:shd w:val="clear" w:color="auto" w:fill="F2F5F7"/>
            <w:vAlign w:val="center"/>
          </w:tcPr>
          <w:p w14:paraId="4A37934E" w14:textId="77777777" w:rsidR="00CD5158" w:rsidRDefault="00D62E86">
            <w:pPr>
              <w:spacing w:after="0" w:line="250" w:lineRule="auto"/>
            </w:pPr>
            <w:r>
              <w:rPr>
                <w:b/>
                <w:sz w:val="21"/>
              </w:rPr>
              <w:t>Registro y finalidad</w:t>
            </w:r>
          </w:p>
        </w:tc>
        <w:tc>
          <w:tcPr>
            <w:tcW w:w="7378" w:type="dxa"/>
            <w:vAlign w:val="center"/>
          </w:tcPr>
          <w:p w14:paraId="511AF333" w14:textId="77777777" w:rsidR="00CD5158" w:rsidRDefault="00D62E86">
            <w:pPr>
              <w:spacing w:after="0" w:line="250" w:lineRule="auto"/>
            </w:pPr>
            <w:sdt>
              <w:sdtPr>
                <w:alias w:val="Registro y finalidad"/>
                <w:tag w:val="q25Logs.record"/>
                <w:id w:val="10008"/>
                <w:text w:multiLine="1"/>
              </w:sdtPr>
              <w:sdtEndPr/>
              <w:sdtContent>
                <w:r>
                  <w:rPr>
                    <w:sz w:val="21"/>
                  </w:rPr>
                  <w:t>[ID, tipo, uso y versión; finalidad; original o extracto; disponibilidad confirmada o pendiente]</w:t>
                </w:r>
              </w:sdtContent>
            </w:sdt>
          </w:p>
        </w:tc>
      </w:tr>
      <w:tr w:rsidR="00CD5158" w14:paraId="55730666" w14:textId="77777777">
        <w:trPr>
          <w:cantSplit/>
          <w:trHeight w:val="780"/>
        </w:trPr>
        <w:tc>
          <w:tcPr>
            <w:tcW w:w="2260" w:type="dxa"/>
            <w:shd w:val="clear" w:color="auto" w:fill="F2F5F7"/>
            <w:vAlign w:val="center"/>
          </w:tcPr>
          <w:p w14:paraId="5B0A4D41" w14:textId="77777777" w:rsidR="00CD5158" w:rsidRDefault="00D62E86">
            <w:pPr>
              <w:spacing w:after="0" w:line="250" w:lineRule="auto"/>
            </w:pPr>
            <w:r>
              <w:rPr>
                <w:b/>
                <w:sz w:val="21"/>
              </w:rPr>
              <w:t>Origen y control</w:t>
            </w:r>
          </w:p>
        </w:tc>
        <w:tc>
          <w:tcPr>
            <w:tcW w:w="7378" w:type="dxa"/>
            <w:vAlign w:val="center"/>
          </w:tcPr>
          <w:p w14:paraId="35428EF4" w14:textId="77777777" w:rsidR="00CD5158" w:rsidRDefault="00D62E86">
            <w:pPr>
              <w:spacing w:after="0" w:line="250" w:lineRule="auto"/>
            </w:pPr>
            <w:sdt>
              <w:sdtPr>
                <w:alias w:val="Origen y control"/>
                <w:tag w:val="q25Logs.origin"/>
                <w:id w:val="10009"/>
                <w:text w:multiLine="1"/>
              </w:sdtPr>
              <w:sdtEndPr/>
              <w:sdtContent>
                <w:r>
                  <w:rPr>
                    <w:sz w:val="21"/>
                  </w:rPr>
                  <w:t>[Sistema o servicio de origen; propietario; quién controla el registro; disponibilidad y límites SaaS o API]</w:t>
                </w:r>
              </w:sdtContent>
            </w:sdt>
          </w:p>
        </w:tc>
      </w:tr>
      <w:tr w:rsidR="00CD5158" w14:paraId="07BA1606" w14:textId="77777777">
        <w:trPr>
          <w:cantSplit/>
          <w:trHeight w:val="780"/>
        </w:trPr>
        <w:tc>
          <w:tcPr>
            <w:tcW w:w="2260" w:type="dxa"/>
            <w:shd w:val="clear" w:color="auto" w:fill="F2F5F7"/>
            <w:vAlign w:val="center"/>
          </w:tcPr>
          <w:p w14:paraId="38C95624" w14:textId="77777777" w:rsidR="00CD5158" w:rsidRDefault="00D62E86">
            <w:pPr>
              <w:spacing w:after="0" w:line="250" w:lineRule="auto"/>
            </w:pPr>
            <w:r>
              <w:rPr>
                <w:b/>
                <w:sz w:val="21"/>
              </w:rPr>
              <w:t>Localizador y vínculo</w:t>
            </w:r>
          </w:p>
        </w:tc>
        <w:tc>
          <w:tcPr>
            <w:tcW w:w="7378" w:type="dxa"/>
            <w:vAlign w:val="center"/>
          </w:tcPr>
          <w:p w14:paraId="1EFA69D0" w14:textId="77777777" w:rsidR="00CD5158" w:rsidRDefault="00D62E86">
            <w:pPr>
              <w:spacing w:after="0" w:line="250" w:lineRule="auto"/>
            </w:pPr>
            <w:sdt>
              <w:sdtPr>
                <w:alias w:val="Localizador y vínculo"/>
                <w:tag w:val="q25Logs.location"/>
                <w:id w:val="10010"/>
                <w:text w:multiLine="1"/>
              </w:sdtPr>
              <w:sdtEndPr/>
              <w:sdtContent>
                <w:r>
                  <w:rPr>
                    <w:sz w:val="21"/>
                  </w:rPr>
                  <w:t>[Ubicación autorizada, ID o ruta segura; expediente vinculado; relación del extracto con el original]</w:t>
                </w:r>
              </w:sdtContent>
            </w:sdt>
          </w:p>
        </w:tc>
      </w:tr>
      <w:tr w:rsidR="00CD5158" w14:paraId="33C05076" w14:textId="77777777">
        <w:trPr>
          <w:cantSplit/>
          <w:trHeight w:val="780"/>
        </w:trPr>
        <w:tc>
          <w:tcPr>
            <w:tcW w:w="2260" w:type="dxa"/>
            <w:shd w:val="clear" w:color="auto" w:fill="F2F5F7"/>
            <w:vAlign w:val="center"/>
          </w:tcPr>
          <w:p w14:paraId="08EBA645" w14:textId="77777777" w:rsidR="00CD5158" w:rsidRDefault="00D62E86">
            <w:pPr>
              <w:spacing w:after="0" w:line="250" w:lineRule="auto"/>
            </w:pPr>
            <w:r>
              <w:rPr>
                <w:b/>
                <w:sz w:val="21"/>
              </w:rPr>
              <w:t>Custodia y acceso</w:t>
            </w:r>
          </w:p>
        </w:tc>
        <w:tc>
          <w:tcPr>
            <w:tcW w:w="7378" w:type="dxa"/>
            <w:vAlign w:val="center"/>
          </w:tcPr>
          <w:p w14:paraId="5356607C" w14:textId="77777777" w:rsidR="00CD5158" w:rsidRDefault="00D62E86">
            <w:pPr>
              <w:spacing w:after="0" w:line="250" w:lineRule="auto"/>
            </w:pPr>
            <w:sdt>
              <w:sdtPr>
                <w:alias w:val="Custodia y acceso"/>
                <w:tag w:val="q25Logs.custodian"/>
                <w:id w:val="10011"/>
                <w:text w:multiLine="1"/>
              </w:sdtPr>
              <w:sdtEndPr/>
              <w:sdtContent>
                <w:r>
                  <w:rPr>
                    <w:sz w:val="21"/>
                  </w:rPr>
                  <w:t>[Custodio, permisos, personas autorizadas, trazabilidad de accesos y transferencias; no incluir credenciales]</w:t>
                </w:r>
              </w:sdtContent>
            </w:sdt>
          </w:p>
        </w:tc>
      </w:tr>
      <w:tr w:rsidR="00CD5158" w14:paraId="04EBB272" w14:textId="77777777">
        <w:trPr>
          <w:cantSplit/>
          <w:trHeight w:val="780"/>
        </w:trPr>
        <w:tc>
          <w:tcPr>
            <w:tcW w:w="2260" w:type="dxa"/>
            <w:shd w:val="clear" w:color="auto" w:fill="F2F5F7"/>
            <w:vAlign w:val="center"/>
          </w:tcPr>
          <w:p w14:paraId="73DB896B" w14:textId="77777777" w:rsidR="00CD5158" w:rsidRDefault="00D62E86">
            <w:pPr>
              <w:spacing w:after="0" w:line="250" w:lineRule="auto"/>
            </w:pPr>
            <w:r>
              <w:rPr>
                <w:b/>
                <w:sz w:val="21"/>
              </w:rPr>
              <w:t>Tiempo y correlación</w:t>
            </w:r>
          </w:p>
        </w:tc>
        <w:tc>
          <w:tcPr>
            <w:tcW w:w="7378" w:type="dxa"/>
            <w:vAlign w:val="center"/>
          </w:tcPr>
          <w:p w14:paraId="4833C3CF" w14:textId="77777777" w:rsidR="00CD5158" w:rsidRDefault="00D62E86">
            <w:pPr>
              <w:spacing w:after="0" w:line="250" w:lineRule="auto"/>
            </w:pPr>
            <w:sdt>
              <w:sdtPr>
                <w:alias w:val="Tiempo y correlación"/>
                <w:tag w:val="q25Logs.clock"/>
                <w:id w:val="10012"/>
                <w:text w:multiLine="1"/>
              </w:sdtPr>
              <w:sdtEndPr/>
              <w:sdtContent>
                <w:r>
                  <w:rPr>
                    <w:sz w:val="21"/>
                  </w:rPr>
                  <w:t>[Fecha hora, zona y fuente del reloj; sincronización o desfase; ID de correlación, secuencia y límites]</w:t>
                </w:r>
              </w:sdtContent>
            </w:sdt>
          </w:p>
        </w:tc>
      </w:tr>
      <w:tr w:rsidR="00CD5158" w14:paraId="78EE900F" w14:textId="77777777">
        <w:trPr>
          <w:cantSplit/>
          <w:trHeight w:val="780"/>
        </w:trPr>
        <w:tc>
          <w:tcPr>
            <w:tcW w:w="2260" w:type="dxa"/>
            <w:shd w:val="clear" w:color="auto" w:fill="F2F5F7"/>
            <w:vAlign w:val="center"/>
          </w:tcPr>
          <w:p w14:paraId="61297583" w14:textId="77777777" w:rsidR="00CD5158" w:rsidRDefault="00D62E86">
            <w:pPr>
              <w:spacing w:after="0" w:line="250" w:lineRule="auto"/>
            </w:pPr>
            <w:r>
              <w:rPr>
                <w:b/>
                <w:sz w:val="21"/>
              </w:rPr>
              <w:t>Conservación y fundamento</w:t>
            </w:r>
          </w:p>
        </w:tc>
        <w:tc>
          <w:tcPr>
            <w:tcW w:w="7378" w:type="dxa"/>
            <w:vAlign w:val="center"/>
          </w:tcPr>
          <w:p w14:paraId="0E8E01FA" w14:textId="77777777" w:rsidR="00CD5158" w:rsidRDefault="00D62E86">
            <w:pPr>
              <w:spacing w:after="0" w:line="250" w:lineRule="auto"/>
            </w:pPr>
            <w:sdt>
              <w:sdtPr>
                <w:alias w:val="Conservación y fundamento"/>
                <w:tag w:val="q25Logs.retention"/>
                <w:id w:val="10013"/>
                <w:text w:multiLine="1"/>
              </w:sdtPr>
              <w:sdtEndPr/>
              <w:sdtContent>
                <w:r>
                  <w:rPr>
                    <w:sz w:val="21"/>
                  </w:rPr>
                  <w:t>[Finalidad y fundamento; periodo aprobado y fuente fechada; inicio y fin; responsable; revisión y salvedades de protección de datos]</w:t>
                </w:r>
              </w:sdtContent>
            </w:sdt>
          </w:p>
        </w:tc>
      </w:tr>
      <w:tr w:rsidR="00CD5158" w14:paraId="2210C7C2" w14:textId="77777777">
        <w:trPr>
          <w:cantSplit/>
          <w:trHeight w:val="780"/>
        </w:trPr>
        <w:tc>
          <w:tcPr>
            <w:tcW w:w="2260" w:type="dxa"/>
            <w:shd w:val="clear" w:color="auto" w:fill="F2F5F7"/>
            <w:vAlign w:val="center"/>
          </w:tcPr>
          <w:p w14:paraId="73199126" w14:textId="77777777" w:rsidR="00CD5158" w:rsidRDefault="00D62E86">
            <w:pPr>
              <w:spacing w:after="0" w:line="250" w:lineRule="auto"/>
            </w:pPr>
            <w:r>
              <w:rPr>
                <w:b/>
                <w:sz w:val="21"/>
              </w:rPr>
              <w:t>Integridad y extracción</w:t>
            </w:r>
          </w:p>
        </w:tc>
        <w:tc>
          <w:tcPr>
            <w:tcW w:w="7378" w:type="dxa"/>
            <w:vAlign w:val="center"/>
          </w:tcPr>
          <w:p w14:paraId="36E248D4" w14:textId="77777777" w:rsidR="00CD5158" w:rsidRDefault="00D62E86">
            <w:pPr>
              <w:spacing w:after="0" w:line="250" w:lineRule="auto"/>
            </w:pPr>
            <w:sdt>
              <w:sdtPr>
                <w:alias w:val="Integridad y extracción"/>
                <w:tag w:val="q25Logs.integrity"/>
                <w:id w:val="10014"/>
                <w:text w:multiLine="1"/>
              </w:sdtPr>
              <w:sdtEndPr/>
              <w:sdtContent>
                <w:r>
                  <w:rPr>
                    <w:sz w:val="21"/>
                  </w:rPr>
                  <w:t>[Medidas contra alteración; método, herramienta, responsable y momento de extracción; huella si procede; prueba de integridad y límites de custodia]</w:t>
                </w:r>
              </w:sdtContent>
            </w:sdt>
          </w:p>
        </w:tc>
      </w:tr>
      <w:tr w:rsidR="00CD5158" w14:paraId="6DF0F862" w14:textId="77777777">
        <w:trPr>
          <w:cantSplit/>
          <w:trHeight w:val="780"/>
        </w:trPr>
        <w:tc>
          <w:tcPr>
            <w:tcW w:w="2260" w:type="dxa"/>
            <w:shd w:val="clear" w:color="auto" w:fill="F2F5F7"/>
            <w:vAlign w:val="center"/>
          </w:tcPr>
          <w:p w14:paraId="78CC0FAD" w14:textId="77777777" w:rsidR="00CD5158" w:rsidRDefault="00D62E86">
            <w:pPr>
              <w:spacing w:after="0" w:line="250" w:lineRule="auto"/>
            </w:pPr>
            <w:r>
              <w:rPr>
                <w:b/>
                <w:sz w:val="21"/>
              </w:rPr>
              <w:t>Preservación y eliminación</w:t>
            </w:r>
          </w:p>
        </w:tc>
        <w:tc>
          <w:tcPr>
            <w:tcW w:w="7378" w:type="dxa"/>
            <w:vAlign w:val="center"/>
          </w:tcPr>
          <w:p w14:paraId="47825483" w14:textId="77777777" w:rsidR="00CD5158" w:rsidRDefault="00D62E86">
            <w:pPr>
              <w:spacing w:after="0" w:line="250" w:lineRule="auto"/>
            </w:pPr>
            <w:sdt>
              <w:sdtPr>
                <w:alias w:val="Preservación y eliminación"/>
                <w:tag w:val="q25Logs.preservation"/>
                <w:id w:val="10015"/>
                <w:text w:multiLine="1"/>
              </w:sdtPr>
              <w:sdtEndPr/>
              <w:sdtContent>
                <w:r>
                  <w:rPr>
                    <w:sz w:val="21"/>
                  </w:rPr>
                  <w:t>[Orden y alcance de preservación, autoridad y revisión; suspensión de borrado si procede; fin autorizado, método y evidencia de eliminación]</w:t>
                </w:r>
              </w:sdtContent>
            </w:sdt>
          </w:p>
        </w:tc>
      </w:tr>
    </w:tbl>
    <w:p w14:paraId="5075BCCA" w14:textId="77777777" w:rsidR="00CD5158" w:rsidRDefault="00D62E86">
      <w:pPr>
        <w:spacing w:before="120" w:after="100" w:line="250" w:lineRule="auto"/>
      </w:pPr>
      <w:r>
        <w:rPr>
          <w:sz w:val="21"/>
        </w:rPr>
        <w:t>En SaaS y API comprueba existencia, control, acceso y exportación real. Los arts. 19 y 26.6 tienen ámbito y salvedades propios: su mínimo de seis meses no es universal para todos los prompts. Conservación, preservación y eliminación requieren una decisión documentada.</w:t>
      </w:r>
    </w:p>
    <w:p w14:paraId="4FD86E85" w14:textId="77777777" w:rsidR="00CD5158" w:rsidRDefault="00D62E86">
      <w:pPr>
        <w:pStyle w:val="Ttulo1"/>
        <w:pageBreakBefore/>
        <w:spacing w:before="0" w:after="100" w:line="250" w:lineRule="auto"/>
      </w:pPr>
      <w:r>
        <w:rPr>
          <w:rFonts w:ascii="Arial" w:hAnsi="Arial"/>
        </w:rPr>
        <w:t>15 Revisión de riesgos e impactos</w:t>
      </w:r>
    </w:p>
    <w:p w14:paraId="3D14B5B0" w14:textId="77777777" w:rsidR="00CD5158" w:rsidRDefault="00D62E86">
      <w:pPr>
        <w:spacing w:after="140" w:line="250" w:lineRule="auto"/>
      </w:pPr>
      <w:r>
        <w:t>Completa al recibir nueva evidencia y con la periodicidad y los desencadenantes aprobados según riesgo. Separa evaluación del SGIA, FRIA del art. 27 y EIPD del RGPD; coordina evidencia común cuando corresponda.</w:t>
      </w:r>
    </w:p>
    <w:p w14:paraId="5E8B04D1" w14:textId="77777777" w:rsidR="00CD5158" w:rsidRDefault="00D62E86">
      <w:pPr>
        <w:spacing w:line="250" w:lineRule="auto"/>
      </w:pPr>
      <w:sdt>
        <w:sdtPr>
          <w:alias w:val="Revisión de impactos y relación con R-001 IMP-001 FRIA y EIPD"/>
          <w:tag w:val="q39Review"/>
          <w:id w:val="10016"/>
          <w:text w:multiLine="1"/>
        </w:sdtPr>
        <w:sdtEndPr/>
        <w:sdtContent>
          <w:r>
            <w:rPr>
              <w:b/>
            </w:rPr>
            <w:t>Alcance y desencadenante:</w:t>
          </w:r>
          <w:r>
            <w:t xml:space="preserve"> [uso, versión, fecha, cambio y periodicidad aprobada]</w:t>
          </w:r>
          <w:r>
            <w:br/>
          </w:r>
          <w:r>
            <w:br/>
          </w:r>
          <w:r>
            <w:rPr>
              <w:b/>
            </w:rPr>
            <w:t>Personas y uso real:</w:t>
          </w:r>
          <w:r>
            <w:t xml:space="preserve"> [población, segmentos pertinentes y condiciones de acceso; justificar datos necesarios]</w:t>
          </w:r>
          <w:r>
            <w:br/>
          </w:r>
          <w:r>
            <w:br/>
          </w:r>
          <w:r>
            <w:rPr>
              <w:b/>
            </w:rPr>
            <w:t>Fuentes y límites:</w:t>
          </w:r>
          <w:r>
            <w:t xml:space="preserve"> [fuente autorizada, muestra, denominador, comparabilidad, ausencias y estado no evaluable]</w:t>
          </w:r>
          <w:r>
            <w:br/>
          </w:r>
          <w:r>
            <w:br/>
          </w:r>
          <w:r>
            <w:rPr>
              <w:b/>
            </w:rPr>
            <w:t>Resultados e impactos:</w:t>
          </w:r>
          <w:r>
            <w:t xml:space="preserve"> [errores, reclamaciones, accesibilidad, transparencia y eficacia de supervisión; separar confirmado y potencial]</w:t>
          </w:r>
          <w:r>
            <w:br/>
          </w:r>
          <w:r>
            <w:br/>
          </w:r>
          <w:r>
            <w:rPr>
              <w:b/>
            </w:rPr>
            <w:t>Riesgos e impactos SGIA:</w:t>
          </w:r>
          <w:r>
            <w:t xml:space="preserve"> [enlace y versión de R-001 e IMP-001; conclusión, cambio o mantenimiento justificado]</w:t>
          </w:r>
          <w:r>
            <w:br/>
          </w:r>
          <w:r>
            <w:br/>
          </w:r>
          <w:r>
            <w:rPr>
              <w:b/>
            </w:rPr>
            <w:t>FRIA y EIPD:</w:t>
          </w:r>
          <w:r>
            <w:t xml:space="preserve"> [solo si aplica; rol, uso, supuesto, fuente, actualización necesaria y responsable; no equivalencia automática]</w:t>
          </w:r>
          <w:r>
            <w:br/>
          </w:r>
          <w:r>
            <w:br/>
          </w:r>
          <w:r>
            <w:rPr>
              <w:b/>
            </w:rPr>
            <w:t>Decisión y seguimiento:</w:t>
          </w:r>
          <w:r>
            <w:t xml:space="preserve"> [medida propuesta o aprobada, autoridad, evidencia, responsable, fecha y siguiente revisión]</w:t>
          </w:r>
        </w:sdtContent>
      </w:sdt>
    </w:p>
    <w:p w14:paraId="1644A4A3" w14:textId="77777777" w:rsidR="00CD5158" w:rsidRDefault="00D62E86">
      <w:pPr>
        <w:spacing w:before="100" w:after="100" w:line="250" w:lineRule="auto"/>
      </w:pPr>
      <w:r>
        <w:rPr>
          <w:sz w:val="21"/>
        </w:rPr>
        <w:t>Cada conclusión debe poder seguirse hasta su fuente, limitación, autoridad y próxima comprobación. Una diferencia estadística aislada no demuestra discriminación; una ausencia de datos se registra como no evaluable con motivo y actuación.</w:t>
      </w:r>
    </w:p>
    <w:p w14:paraId="626CCB78" w14:textId="77777777" w:rsidR="00CD5158" w:rsidRDefault="00D62E86">
      <w:pPr>
        <w:pStyle w:val="Ttulo1"/>
        <w:pageBreakBefore/>
        <w:spacing w:before="0" w:after="100" w:line="250" w:lineRule="auto"/>
      </w:pPr>
      <w:r>
        <w:rPr>
          <w:rFonts w:ascii="Arial" w:hAnsi="Arial"/>
        </w:rPr>
        <w:t>16 Entradas para decisión de dirección</w:t>
      </w:r>
    </w:p>
    <w:p w14:paraId="02C694A9" w14:textId="77777777" w:rsidR="00CD5158" w:rsidRDefault="00D62E86">
      <w:pPr>
        <w:spacing w:after="140" w:line="250" w:lineRule="auto"/>
      </w:pPr>
      <w:r>
        <w:t>Prepara información y decisiones solicitadas para la revisión del módulo 12. Relaciona las evidencias que podrá comprobar la auditoría del módulo 11. Este resumen es parte de las entradas y no sustituye el acta de revisión.</w:t>
      </w:r>
    </w:p>
    <w:p w14:paraId="1741D79C" w14:textId="77777777" w:rsidR="00CD5158" w:rsidRDefault="00D62E86">
      <w:pPr>
        <w:spacing w:line="250" w:lineRule="auto"/>
      </w:pPr>
      <w:sdt>
        <w:sdtPr>
          <w:alias w:val="Entradas para dirección evidencia opciones recursos decisión y seguimiento"/>
          <w:tag w:val="q42Direction"/>
          <w:id w:val="10017"/>
          <w:text w:multiLine="1"/>
        </w:sdtPr>
        <w:sdtEndPr/>
        <w:sdtContent>
          <w:r>
            <w:rPr>
              <w:b/>
            </w:rPr>
            <w:t>Periodo alcance y versiones:</w:t>
          </w:r>
          <w:r>
            <w:t xml:space="preserve"> [corte, sistemas, documentos y responsables]</w:t>
          </w:r>
          <w:r>
            <w:br/>
          </w:r>
          <w:r>
            <w:br/>
          </w:r>
          <w:r>
            <w:rPr>
              <w:b/>
            </w:rPr>
            <w:t>Evidencia y límites:</w:t>
          </w:r>
          <w:r>
            <w:t xml:space="preserve"> [indicadores, objetivos, denominadores, fuentes y ausencias; incidentes, recurrencia y consecuencias]</w:t>
          </w:r>
          <w:r>
            <w:br/>
          </w:r>
          <w:r>
            <w:br/>
          </w:r>
          <w:r>
            <w:rPr>
              <w:b/>
            </w:rPr>
            <w:t>Eficacia y pendientes:</w:t>
          </w:r>
          <w:r>
            <w:t xml:space="preserve"> [medidas comprobadas, riesgos residuales, obligaciones, vencimientos y supervisión]</w:t>
          </w:r>
          <w:r>
            <w:br/>
          </w:r>
          <w:r>
            <w:br/>
          </w:r>
          <w:r>
            <w:rPr>
              <w:b/>
            </w:rPr>
            <w:t>Decisión solicitada:</w:t>
          </w:r>
          <w:r>
            <w:t xml:space="preserve"> [qué debe decidir la dirección y por qué requiere su autoridad]</w:t>
          </w:r>
          <w:r>
            <w:br/>
          </w:r>
          <w:r>
            <w:br/>
          </w:r>
          <w:r>
            <w:rPr>
              <w:b/>
            </w:rPr>
            <w:t>Opciones y recursos:</w:t>
          </w:r>
          <w:r>
            <w:t xml:space="preserve"> [alternativas, ventajas, límites, dependencias, capacidad humana, coste y plazo por contrastar]</w:t>
          </w:r>
          <w:r>
            <w:br/>
          </w:r>
          <w:r>
            <w:br/>
          </w:r>
          <w:r>
            <w:rPr>
              <w:b/>
            </w:rPr>
            <w:t>Decisión y autoridad:</w:t>
          </w:r>
          <w:r>
            <w:t xml:space="preserve"> [propuesto / aprobado / rechazado / pendiente; quién, fecha, fundamento y referencia al acta]</w:t>
          </w:r>
          <w:r>
            <w:br/>
          </w:r>
          <w:r>
            <w:br/>
          </w:r>
          <w:r>
            <w:rPr>
              <w:b/>
            </w:rPr>
            <w:t>Responsable y seguimiento:</w:t>
          </w:r>
          <w:r>
            <w:t xml:space="preserve"> [acción, plazo, evidencia para comprobar resultado y próxima revisión]</w:t>
          </w:r>
        </w:sdtContent>
      </w:sdt>
    </w:p>
    <w:p w14:paraId="53F948B3" w14:textId="77777777" w:rsidR="00CD5158" w:rsidRDefault="00D62E86">
      <w:pPr>
        <w:spacing w:before="100" w:after="100" w:line="250" w:lineRule="auto"/>
      </w:pPr>
      <w:r>
        <w:rPr>
          <w:sz w:val="21"/>
        </w:rPr>
        <w:t>Distingue propuesto, autorizado, aplicado y comprobado. Asigna responsables y fechas concretas a los pendientes; una urgencia puede requerir una decisión anticipada sin esperar a la reunión periódica.</w:t>
      </w:r>
    </w:p>
    <w:sectPr w:rsidR="00CD5158" w:rsidSect="00034616">
      <w:headerReference w:type="default" r:id="rId8"/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5C6BE" w14:textId="77777777" w:rsidR="00D62E86" w:rsidRDefault="00D62E86">
      <w:pPr>
        <w:spacing w:after="0" w:line="240" w:lineRule="auto"/>
      </w:pPr>
      <w:r>
        <w:separator/>
      </w:r>
    </w:p>
  </w:endnote>
  <w:endnote w:type="continuationSeparator" w:id="0">
    <w:p w14:paraId="7AFACC68" w14:textId="77777777" w:rsidR="00D62E86" w:rsidRDefault="00D6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4E7D2" w14:textId="308A8CC5" w:rsidR="00CD5158" w:rsidRDefault="00D62E86">
    <w:pPr>
      <w:pStyle w:val="Piedepgina"/>
    </w:pPr>
    <w:r>
      <w:rPr>
        <w:sz w:val="18"/>
      </w:rPr>
      <w:t xml:space="preserve">José Manuel Hernández Agudo    INC-001 v0.4    Página </w:t>
    </w:r>
    <w:r>
      <w:fldChar w:fldCharType="begin"/>
    </w:r>
    <w:r>
      <w:instrText>PAGE</w:instrText>
    </w:r>
    <w:r w:rsidR="00CD7CCC">
      <w:fldChar w:fldCharType="separate"/>
    </w:r>
    <w:r w:rsidR="00CD7CC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23966" w14:textId="77777777" w:rsidR="00D62E86" w:rsidRDefault="00D62E86">
      <w:pPr>
        <w:spacing w:after="0" w:line="240" w:lineRule="auto"/>
      </w:pPr>
      <w:r>
        <w:separator/>
      </w:r>
    </w:p>
  </w:footnote>
  <w:footnote w:type="continuationSeparator" w:id="0">
    <w:p w14:paraId="4DDE8972" w14:textId="77777777" w:rsidR="00D62E86" w:rsidRDefault="00D62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2A923" w14:textId="77777777" w:rsidR="00CD5158" w:rsidRDefault="00D62E86">
    <w:pPr>
      <w:pStyle w:val="Encabezado"/>
    </w:pPr>
    <w:proofErr w:type="spellStart"/>
    <w:r>
      <w:rPr>
        <w:sz w:val="18"/>
      </w:rPr>
      <w:t>Fundamentos</w:t>
    </w:r>
    <w:proofErr w:type="spellEnd"/>
    <w:r>
      <w:rPr>
        <w:sz w:val="18"/>
      </w:rPr>
      <w:t xml:space="preserve"> del SGIA e ISO/IEC 42001    </w:t>
    </w:r>
    <w:proofErr w:type="spellStart"/>
    <w:r>
      <w:rPr>
        <w:sz w:val="18"/>
      </w:rPr>
      <w:t>Módulo</w:t>
    </w:r>
    <w:proofErr w:type="spellEnd"/>
    <w:r>
      <w:rPr>
        <w:sz w:val="18"/>
      </w:rPr>
      <w:t xml:space="preserve"> 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5521868">
    <w:abstractNumId w:val="8"/>
  </w:num>
  <w:num w:numId="2" w16cid:durableId="331421750">
    <w:abstractNumId w:val="6"/>
  </w:num>
  <w:num w:numId="3" w16cid:durableId="1625228448">
    <w:abstractNumId w:val="5"/>
  </w:num>
  <w:num w:numId="4" w16cid:durableId="95562196">
    <w:abstractNumId w:val="4"/>
  </w:num>
  <w:num w:numId="5" w16cid:durableId="426393263">
    <w:abstractNumId w:val="7"/>
  </w:num>
  <w:num w:numId="6" w16cid:durableId="927886377">
    <w:abstractNumId w:val="3"/>
  </w:num>
  <w:num w:numId="7" w16cid:durableId="1808236527">
    <w:abstractNumId w:val="2"/>
  </w:num>
  <w:num w:numId="8" w16cid:durableId="116340148">
    <w:abstractNumId w:val="1"/>
  </w:num>
  <w:num w:numId="9" w16cid:durableId="698051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CD5158"/>
    <w:rsid w:val="00CD7CCC"/>
    <w:rsid w:val="00D106FF"/>
    <w:rsid w:val="00D62E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112EDD18-9C20-4D0D-88F7-ED37975A3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 w:val="44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2220</Words>
  <Characters>12212</Characters>
  <Application>Microsoft Office Word</Application>
  <DocSecurity>0</DocSecurity>
  <Lines>101</Lines>
  <Paragraphs>28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16</vt:i4>
      </vt:variant>
    </vt:vector>
  </HeadingPairs>
  <TitlesOfParts>
    <vt:vector size="17" baseType="lpstr">
      <vt:lpstr>INC-001 Gestión y registro de incidentes de IA Plantilla en blanco</vt:lpstr>
      <vt:lpstr>1 Alcance y coordinación</vt:lpstr>
      <vt:lpstr>2 Detección y triaje</vt:lpstr>
      <vt:lpstr>3 Contención y evidencia</vt:lpstr>
      <vt:lpstr>4 Investigación por capas</vt:lpstr>
      <vt:lpstr>5 Actuaciones y cambios</vt:lpstr>
      <vt:lpstr>6 Comunicación y obligaciones</vt:lpstr>
      <vt:lpstr>7 Recuperación y cierre</vt:lpstr>
      <vt:lpstr>8 Referencias para adaptar el procedimiento</vt:lpstr>
      <vt:lpstr>9 Identificación y valoración inicial</vt:lpstr>
      <vt:lpstr>10 Cronología contención y evidencias</vt:lpstr>
      <vt:lpstr>11 Hipótesis actuaciones y comunicación</vt:lpstr>
      <vt:lpstr>12 Recuperación eficacia y cierre</vt:lpstr>
      <vt:lpstr>13 Dictamen de notificación externa</vt:lpstr>
      <vt:lpstr>14 Inventario operativo de registros</vt:lpstr>
      <vt:lpstr>15 Revisión de riesgos e impactos</vt:lpstr>
      <vt:lpstr>16 Entradas para decisión de dirección</vt:lpstr>
    </vt:vector>
  </TitlesOfParts>
  <Manager/>
  <Company/>
  <LinksUpToDate>false</LinksUpToDate>
  <CharactersWithSpaces>14404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INC-001 Gestión y registro de incidentes de IA Plantilla en blanco</dc:title>
  <dc:subject>Módulo 10 del curso Fundamentos del SGIA e ISO/IEC 42001</dc:subject>
  <dc:creator>José Manuel Hernández Agudo</dc:creator>
  <cp:keywords>INC-001, SGIA, ISO/IEC 42001, incidentes de IA, notificaciones, registros</cp:keywords>
  <dc:description>Procedimiento y formulario editable para documentar incidentes de IA, investigación, respuesta, notificaciones, custodia de registros y revisión de impactos.</dc:description>
  <cp:lastModifiedBy>José Manuel Hernández Agudo</cp:lastModifiedBy>
  <cp:revision>3</cp:revision>
  <dcterms:created xsi:type="dcterms:W3CDTF">2026-10-17T06:32:00Z</dcterms:created>
  <dcterms:modified xsi:type="dcterms:W3CDTF">2026-10-17T06:38:00Z</dcterms:modified>
  <cp:category>Plantilla editable</cp:category>
</cp:coreProperties>
</file>