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20"/>
      </w:pPr>
      <w:r>
        <w:rPr>
          <w:b/>
          <w:sz w:val="20"/>
        </w:rPr>
        <w:t>MONOGRÁFICO 6  |  ACTIVIDAD DE CONOCIMIENTOS</w:t>
      </w:r>
    </w:p>
    <w:p>
      <w:pPr>
        <w:pStyle w:val="Title"/>
        <w:spacing w:after="120"/>
      </w:pPr>
      <w:r>
        <w:t>Formulario de evaluación de minimización de datos en agentes interactivos</w:t>
      </w:r>
    </w:p>
    <w:p>
      <w:pPr>
        <w:pStyle w:val="Subtitle"/>
        <w:spacing w:after="120"/>
      </w:pPr>
      <w:r>
        <w:t>SOLUCIÓN ORIENTATIVA</w:t>
      </w:r>
    </w:p>
    <w:p>
      <w:pPr>
        <w:spacing w:after="120"/>
      </w:pPr>
      <w:r>
        <w:rPr>
          <w:sz w:val="20"/>
        </w:rPr>
        <w:t>Fundamentos del SGIA e ISO/IEC 42001</w:t>
      </w:r>
    </w:p>
    <w:p>
      <w:pPr>
        <w:spacing w:after="120"/>
      </w:pPr>
      <w:r>
        <w:rPr>
          <w:sz w:val="18"/>
        </w:rPr>
        <w:t>Identificador didáctico C6-E01  |  Edición 2026-10-26</w:t>
      </w:r>
    </w:p>
    <w:p>
      <w:pPr>
        <w:spacing w:after="120"/>
      </w:pPr>
      <w:r>
        <w:t>Validar la distinción entre finalidad, destino configurado, permisos efectivos, lectura y publicación.</w:t>
      </w:r>
    </w:p>
    <w:p>
      <w:pPr>
        <w:spacing w:after="120"/>
      </w:pPr>
      <w:r>
        <w:t>Responde a las nueve preguntas y a los cuatro ejercicios de ampliación con los hechos aportados. Justifica la conclusión y señala la evidencia pendiente. No inventes datos ni ejecutes los productos.</w:t>
      </w:r>
    </w:p>
    <w:p>
      <w:pPr>
        <w:spacing w:after="120"/>
      </w:pPr>
      <w:r>
        <w:rPr>
          <w:sz w:val="20"/>
        </w:rPr>
        <w:t>Estas respuestas son una referencia de corrección. Admiten formulaciones equivalentes si conservan las distinciones y límites del caso.</w:t>
      </w:r>
    </w:p>
    <w:p>
      <w:pPr>
        <w:pStyle w:val="Heading1"/>
        <w:spacing w:after="120"/>
      </w:pPr>
      <w:r>
        <w:t>Hechos aportados</w:t>
      </w:r>
    </w:p>
    <w:p>
      <w:pPr>
        <w:spacing w:after="120"/>
      </w:pPr>
      <w:r>
        <w:t>1. Caso didáctico C6-E01. El servicio se propone resumir información de un único canal público de un equipo. No se facilitan identificadores reales ni se utiliza un tenant.</w:t>
      </w:r>
    </w:p>
    <w:p>
      <w:pPr>
        <w:spacing w:after="120"/>
      </w:pPr>
      <w:r>
        <w:t>2. El servidor apunta a un equipo y un canal; la aplicación tiene ChannelMessage.Read.Group mediante RSC. No se han aportado inventario de concesiones efectivas, justificación del alcance ampliado, retención ni prueba de restricciones.</w:t>
      </w:r>
    </w:p>
    <w:p>
      <w:pPr>
        <w:spacing w:after="120"/>
      </w:pPr>
      <w:r>
        <w:t>3. El cliente redacta un borrador y propone publicarlo sin aportar decisión humana. No consta que se haya enviado ningún mensaje.</w:t>
      </w:r>
    </w:p>
    <w:p>
      <w:pPr>
        <w:spacing w:after="120"/>
      </w:pPr>
      <w:r>
        <w:t>4. La síntesis de MCP Teams Server es la lección 6. update_thread añade una respuesta; read_thread devuelve respuestas y las consultas pueden requerir paginación.</w:t>
      </w:r>
    </w:p>
    <w:p>
      <w:pPr>
        <w:pStyle w:val="Heading2"/>
        <w:spacing w:after="120"/>
      </w:pPr>
      <w:r>
        <w:t>Referencias de estudio</w:t>
      </w:r>
    </w:p>
    <w:p>
      <w:pPr>
        <w:spacing w:after="120"/>
      </w:pPr>
      <w:r>
        <w:rPr>
          <w:sz w:val="18"/>
        </w:rPr>
        <w:t>MCP Teams Server lecciones 2, 3, 4 y 6; Módulos 7, 8, 9 y 11 del curso.</w:t>
      </w:r>
    </w:p>
    <w:p>
      <w:pPr>
        <w:spacing w:after="120"/>
      </w:pPr>
      <w:r>
        <w:rPr>
          <w:sz w:val="18"/>
        </w:rPr>
        <w:t>Modelo didáctico de la forma de evidencia. No es un formulario obligatorio de ISO/IEC 42001 ni una firma electrónica verificada.</w:t>
      </w:r>
    </w:p>
    <w:p>
      <w:r>
        <w:br w:type="page"/>
      </w:r>
    </w:p>
    <w:p>
      <w:pPr>
        <w:pStyle w:val="Heading1"/>
        <w:spacing w:after="120"/>
      </w:pPr>
      <w:r>
        <w:t>Preguntas y respuestas</w:t>
      </w:r>
    </w:p>
    <w:p>
      <w:pPr>
        <w:spacing w:after="220"/>
      </w:pPr>
      <w:r>
        <w:rPr>
          <w:sz w:val="18"/>
        </w:rPr>
        <w:t>Solución orientativa del caso C6-E01</w:t>
      </w:r>
    </w:p>
    <w:p>
      <w:pPr>
        <w:pStyle w:val="Heading2"/>
        <w:spacing w:after="120"/>
      </w:pPr>
      <w:r>
        <w:t>M01 Finalidad y necesidad</w:t>
      </w:r>
    </w:p>
    <w:p>
      <w:pPr>
        <w:spacing w:after="120"/>
      </w:pPr>
      <w:r>
        <w:t>Qué finalidad consta y qué datos deberían justificarse.</w:t>
      </w:r>
    </w:p>
    <w:p>
      <w:pPr>
        <w:keepLines/>
        <w:spacing w:after="440"/>
      </w:pPr>
      <w:r>
        <w:t>Resumir información del canal definido. Se deben precisar usuarios, categorías de datos, periodo, mensajes y miembros necesarios, destinatarios, modelo del cliente y usos posteriores. Público dentro de Teams no significa público en Internet ni libre para cualquier finalidad.</w:t>
      </w:r>
    </w:p>
    <w:p>
      <w:pPr>
        <w:pStyle w:val="Heading2"/>
        <w:spacing w:after="120"/>
      </w:pPr>
      <w:r>
        <w:t>M02 Alcance del permiso</w:t>
      </w:r>
    </w:p>
    <w:p>
      <w:pPr>
        <w:spacing w:after="120"/>
      </w:pPr>
      <w:r>
        <w:t>Explica qué permite RSC de equipo frente al canal configurado.</w:t>
      </w:r>
    </w:p>
    <w:p>
      <w:pPr>
        <w:keepLines/>
        <w:spacing w:after="440"/>
      </w:pPr>
      <w:r>
        <w:t>ChannelMessage.Read.Group se concede sobre el recurso equipo y sus canales. La configuración dirige estas llamadas a un canal, pero no reduce automáticamente los permisos de la credencial. Debe examinarse la concesión efectiva y la instalación de la aplicación Teams junto con Entra ID.</w:t>
      </w:r>
    </w:p>
    <w:p>
      <w:pPr>
        <w:pStyle w:val="Heading2"/>
        <w:spacing w:after="120"/>
      </w:pPr>
      <w:r>
        <w:t>M03 Justificación de minimización</w:t>
      </w:r>
    </w:p>
    <w:p>
      <w:pPr>
        <w:spacing w:after="120"/>
      </w:pPr>
      <w:r>
        <w:t>Qué conclusión puede sostenerse con los datos aportados.</w:t>
      </w:r>
    </w:p>
    <w:p>
      <w:pPr>
        <w:keepLines/>
        <w:spacing w:after="440"/>
      </w:pPr>
      <w:r>
        <w:t>Existe un riesgo de alcance superior al justificado que requiere evidencia y valoración. No se demuestra que se hayan leído otros canales ni una infracción jurídica automática. Se necesita finalidad, necesidad, datos personales, permisos, medidas y tratamiento efectivo.</w:t>
      </w:r>
    </w:p>
    <w:p>
      <w:r>
        <w:br w:type="page"/>
      </w:r>
    </w:p>
    <w:p>
      <w:pPr>
        <w:pStyle w:val="Heading1"/>
        <w:spacing w:after="120"/>
      </w:pPr>
      <w:r>
        <w:t>Preguntas y respuestas</w:t>
      </w:r>
    </w:p>
    <w:p>
      <w:pPr>
        <w:spacing w:after="220"/>
      </w:pPr>
      <w:r>
        <w:rPr>
          <w:sz w:val="18"/>
        </w:rPr>
        <w:t>Solución orientativa del caso C6-E01</w:t>
      </w:r>
    </w:p>
    <w:p>
      <w:pPr>
        <w:pStyle w:val="Heading2"/>
        <w:spacing w:after="120"/>
      </w:pPr>
      <w:r>
        <w:t>M04 Medidas y alternativas</w:t>
      </w:r>
    </w:p>
    <w:p>
      <w:pPr>
        <w:spacing w:after="120"/>
      </w:pPr>
      <w:r>
        <w:t>Qué opciones compararías para el supuesto.</w:t>
      </w:r>
    </w:p>
    <w:p>
      <w:pPr>
        <w:keepLines/>
        <w:spacing w:after="440"/>
      </w:pPr>
      <w:r>
        <w:t>Valorar una separación de recursos adecuada al servicio y restricciones efectivas en el cliente o capa de acceso, sin confundirlas con una reducción del permiso Microsoft. Comparar necesidad, datos alcanzables, vías de acceso y evidencia de la restricción. No se cambian permisos reales en el ejercicio.</w:t>
      </w:r>
    </w:p>
    <w:p>
      <w:pPr>
        <w:pStyle w:val="Heading2"/>
        <w:spacing w:after="120"/>
      </w:pPr>
      <w:r>
        <w:t>M05 Paginación y contexto</w:t>
      </w:r>
    </w:p>
    <w:p>
      <w:pPr>
        <w:spacing w:after="120"/>
      </w:pPr>
      <w:r>
        <w:t>Qué limita la lectura y qué evidencia pedirías.</w:t>
      </w:r>
    </w:p>
    <w:p>
      <w:pPr>
        <w:keepLines/>
        <w:spacing w:after="440"/>
      </w:pPr>
      <w:r>
        <w:t>read_thread consulta respuestas, no incluye automáticamente el mensaje inicial. limit describe una página; total puede ser el tamaño recibido si falta recuento externo. Se requieren páginas consultadas, cursores y contexto pertinente. list_members puede recorrer todas sus páginas.</w:t>
      </w:r>
    </w:p>
    <w:p>
      <w:pPr>
        <w:pStyle w:val="Heading2"/>
        <w:spacing w:after="120"/>
      </w:pPr>
      <w:r>
        <w:t>M06 Destino de datos y conservación</w:t>
      </w:r>
    </w:p>
    <w:p>
      <w:pPr>
        <w:spacing w:after="120"/>
      </w:pPr>
      <w:r>
        <w:t>Qué dependencias adicionales deben constar.</w:t>
      </w:r>
    </w:p>
    <w:p>
      <w:pPr>
        <w:keepLines/>
        <w:spacing w:after="440"/>
      </w:pPr>
      <w:r>
        <w:t>Cliente o agente, modelo y proveedor cuando existan, SDK y servicios, contenido transmitido, registros, accesos y retención. Las credenciales de aplicación no identifican por sí solas a cada solicitante humano. No se registran valores secretos en la ficha.</w:t>
      </w:r>
    </w:p>
    <w:p>
      <w:r>
        <w:br w:type="page"/>
      </w:r>
    </w:p>
    <w:p>
      <w:pPr>
        <w:pStyle w:val="Heading1"/>
        <w:spacing w:after="120"/>
      </w:pPr>
      <w:r>
        <w:t>Preguntas y respuestas</w:t>
      </w:r>
    </w:p>
    <w:p>
      <w:pPr>
        <w:spacing w:after="220"/>
      </w:pPr>
      <w:r>
        <w:rPr>
          <w:sz w:val="18"/>
        </w:rPr>
        <w:t>Solución orientativa del caso C6-E01</w:t>
      </w:r>
    </w:p>
    <w:p>
      <w:pPr>
        <w:pStyle w:val="Heading2"/>
        <w:spacing w:after="120"/>
      </w:pPr>
      <w:r>
        <w:t>M07 Borrador y autorización</w:t>
      </w:r>
    </w:p>
    <w:p>
      <w:pPr>
        <w:spacing w:after="120"/>
      </w:pPr>
      <w:r>
        <w:t>En qué estado debe quedar la comunicación del supuesto.</w:t>
      </w:r>
    </w:p>
    <w:p>
      <w:pPr>
        <w:keepLines/>
        <w:spacing w:after="440"/>
      </w:pPr>
      <w:r>
        <w:t>Borrador pendiente. El cliente prepara el texto; la persona con atribuciones revisa contenido, destino e identidad antes de autorizar el envío cuando así lo exige el proceso. El servidor no incorpora una aprobación humana obligatoria ni una herramienta nativa de borrador.</w:t>
      </w:r>
    </w:p>
    <w:p>
      <w:pPr>
        <w:pStyle w:val="Heading2"/>
        <w:spacing w:after="120"/>
      </w:pPr>
      <w:r>
        <w:t>M08 Efecto de la publicación</w:t>
      </w:r>
    </w:p>
    <w:p>
      <w:pPr>
        <w:spacing w:after="120"/>
      </w:pPr>
      <w:r>
        <w:t>Diferencia las herramientas y qué se conserva después.</w:t>
      </w:r>
    </w:p>
    <w:p>
      <w:pPr>
        <w:keepLines/>
        <w:spacing w:after="440"/>
      </w:pPr>
      <w:r>
        <w:t>start_thread inicia un hilo. update_thread añade una respuesta, no edita el original. Después de un envío autorizado se relacionan petición, borrador, decisión, destino, identidad, identificador y resultado. En el supuesto no hubo envío y no se inventa su justificante.</w:t>
      </w:r>
    </w:p>
    <w:p>
      <w:pPr>
        <w:pStyle w:val="Heading2"/>
        <w:spacing w:after="120"/>
      </w:pPr>
      <w:r>
        <w:t>M09 Conclusión de la evaluación</w:t>
      </w:r>
    </w:p>
    <w:p>
      <w:pPr>
        <w:spacing w:after="120"/>
      </w:pPr>
      <w:r>
        <w:t>Qué falta para cerrar la decisión sobre el uso.</w:t>
      </w:r>
    </w:p>
    <w:p>
      <w:pPr>
        <w:keepLines/>
        <w:spacing w:after="440"/>
      </w:pPr>
      <w:r>
        <w:t>EVIDENCIA REQUERIDA: concesiones efectivas, justificación de necesidad y alcance, medidas de limitación, tratamiento y conservación, responsables y decisión. La ficha didáctica no constituye aceptación real del uso ni una autorización para publicar. Debe documentarse también el cribado EIPD; la ampliación analiza tres riesgos de privacidad sin asignar niveles residuales inventados.</w:t>
      </w:r>
    </w:p>
    <w:p>
      <w:r>
        <w:br w:type="page"/>
      </w:r>
    </w:p>
    <w:p>
      <w:pPr>
        <w:pStyle w:val="Heading1"/>
        <w:spacing w:after="120"/>
      </w:pPr>
      <w:r>
        <w:t>Matriz preliminar de privacidad y cribado EIPD</w:t>
      </w:r>
    </w:p>
    <w:p>
      <w:pPr>
        <w:spacing w:after="200"/>
      </w:pPr>
      <w:r>
        <w:rPr>
          <w:sz w:val="20"/>
        </w:rPr>
        <w:t>Para cada riesgo indica daño a las personas, medidas propuestas, evidencia y responsable. No se conoce una instalación ni se puede puntuar riesgo residual. Es un ejercicio de cribado: no sustituye una EIPD completa exigible.</w:t>
      </w:r>
    </w:p>
    <w:p>
      <w:pPr>
        <w:pStyle w:val="Heading2"/>
        <w:spacing w:after="120"/>
      </w:pPr>
      <w:r>
        <w:t>M10 Fuga de datos personales</w:t>
      </w:r>
    </w:p>
    <w:p>
      <w:pPr>
        <w:spacing w:after="140"/>
      </w:pPr>
      <w:r>
        <w:t>Analiza el paso de datos desde Teams al cliente, modelo, herramientas y registros.</w:t>
      </w:r>
    </w:p>
    <w:p>
      <w:pPr>
        <w:keepLines/>
        <w:spacing w:after="440"/>
      </w:pPr>
      <w:r>
        <w:t>Daño posible: divulgación y pérdida de control. Proponer minimización/redacción, separación de destinos, control de salidas y garantías de proveedores y transferencias si proceden. Exigir mapa de flujo, categorías, destinatarios, contratos y pruebas de salida. Responsable del tratamiento decide con apoyo técnico y asesoramiento del DPD cuando esté designado. Medidas y riesgo residual pendientes de demostrar.</w:t>
      </w:r>
    </w:p>
    <w:p>
      <w:pPr>
        <w:pStyle w:val="Heading2"/>
        <w:spacing w:after="120"/>
      </w:pPr>
      <w:r>
        <w:t>M11 Historial no autorizado</w:t>
      </w:r>
    </w:p>
    <w:p>
      <w:pPr>
        <w:spacing w:after="140"/>
      </w:pPr>
      <w:r>
        <w:t>Analiza el acceso al historial de otros canales y a mensajes no necesarios.</w:t>
      </w:r>
    </w:p>
    <w:p>
      <w:pPr>
        <w:keepLines/>
        <w:spacing w:after="440"/>
      </w:pPr>
      <w:r>
        <w:t>Daño posible: exposición de comunicaciones, perfiles o datos de terceros. Contrastar finalidad y necesidad con concesiones efectivas Entra/Teams y RSC de equipo. Proponer separación de recursos, controles de rutas e identidad, paginación acotada y pruebas de denegación. Un canal configurado no reduce el permiso. Exigir inventario y pruebas; servicio/IAM ejecutan y el responsable del tratamiento decide. No consta lectura indebida.</w:t>
      </w:r>
    </w:p>
    <w:p>
      <w:r>
        <w:br w:type="page"/>
      </w:r>
    </w:p>
    <w:p>
      <w:pPr>
        <w:pStyle w:val="Heading1"/>
        <w:spacing w:after="120"/>
      </w:pPr>
      <w:r>
        <w:t>Matriz preliminar de privacidad y cribado EIPD</w:t>
      </w:r>
    </w:p>
    <w:p>
      <w:pPr>
        <w:spacing w:after="200"/>
      </w:pPr>
      <w:r>
        <w:rPr>
          <w:sz w:val="20"/>
        </w:rPr>
        <w:t>Para cada riesgo indica daño a las personas, medidas propuestas, evidencia y responsable. No se conoce una instalación ni se puede puntuar riesgo residual. Es un ejercicio de cribado: no sustituye una EIPD completa exigible.</w:t>
      </w:r>
    </w:p>
    <w:p>
      <w:pPr>
        <w:pStyle w:val="Heading2"/>
        <w:spacing w:after="120"/>
      </w:pPr>
      <w:r>
        <w:t>M12 Retención de trazas de depuración</w:t>
      </w:r>
    </w:p>
    <w:p>
      <w:pPr>
        <w:spacing w:after="140"/>
      </w:pPr>
      <w:r>
        <w:t>Cómo fijarías conservación, acceso y borrado.</w:t>
      </w:r>
    </w:p>
    <w:p>
      <w:pPr>
        <w:keepLines/>
        <w:spacing w:after="440"/>
      </w:pPr>
      <w:r>
        <w:t>Daño posible: copias persistentes de contenido personal y acceso secundario. Inventariar logs, réplicas y copias; minimizar payloads, proteger accesos y fijar plazos por finalidad y obligaciones aplicables. Exigir configuración, pruebas de borrado/expiración y excepciones justificadas. Operaciones implementa; el responsable del tratamiento establece el criterio. No se inventa un plazo universal ni se presupone que debug esté activo.</w:t>
      </w:r>
    </w:p>
    <w:p>
      <w:pPr>
        <w:pStyle w:val="Heading2"/>
        <w:spacing w:after="120"/>
      </w:pPr>
      <w:r>
        <w:t>M13 Cribado EIPD y decisión</w:t>
      </w:r>
    </w:p>
    <w:p>
      <w:pPr>
        <w:spacing w:after="140"/>
      </w:pPr>
      <w:r>
        <w:t>Qué revisarías para decidir si procede una EIPD completa.</w:t>
      </w:r>
    </w:p>
    <w:p>
      <w:pPr>
        <w:keepLines/>
        <w:spacing w:after="440"/>
      </w:pPr>
      <w:r>
        <w:t>Faltan naturaleza, contexto, alcance, categorías, escala, personas vulnerables, perfilado/observación sistemática, combinaciones y destinatarios; contrastar además las listas aplicables de la AEPD. RSC de equipo no decide por sí solo. El responsable documenta el cribado y recaba asesoramiento del DPD si está designado. Si es probable alto riesgo, EIPD antes del tratamiento; si persiste alto riesgo sin mitigación suficiente, consulta previa conforme al artículo 36 RGPD. En este supuesto: EVIDENCIA REQUERIDA.</w:t>
      </w:r>
    </w:p>
    <w:p>
      <w:pPr>
        <w:pStyle w:val="Heading2"/>
        <w:spacing w:after="120"/>
      </w:pPr>
      <w:r>
        <w:t>Fuentes para el cribado</w:t>
      </w:r>
    </w:p>
    <w:p>
      <w:pPr>
        <w:spacing w:after="100"/>
      </w:pPr>
      <w:hyperlink r:id="rId11">
        <w:r>
          <w:rPr>
            <w:color w:val="0B6591"/>
            <w:sz w:val="18"/>
          </w:rPr>
          <w:t>RGPD · artículos 35 y 36</w:t>
        </w:r>
      </w:hyperlink>
    </w:p>
    <w:p>
      <w:pPr>
        <w:spacing w:after="100"/>
      </w:pPr>
      <w:hyperlink r:id="rId12">
        <w:r>
          <w:rPr>
            <w:color w:val="0B6591"/>
            <w:sz w:val="18"/>
          </w:rPr>
          <w:t>LOPDGDD · artículo 28</w:t>
        </w:r>
      </w:hyperlink>
    </w:p>
    <w:p>
      <w:pPr>
        <w:spacing w:after="100"/>
      </w:pPr>
      <w:hyperlink r:id="rId13">
        <w:r>
          <w:rPr>
            <w:color w:val="0B6591"/>
            <w:sz w:val="18"/>
          </w:rPr>
          <w:t>AEPD · Gestión del riesgo y EIPD</w:t>
        </w:r>
      </w:hyperlink>
    </w:p>
    <w:p>
      <w:r>
        <w:br w:type="page"/>
      </w:r>
    </w:p>
    <w:p>
      <w:pPr>
        <w:pStyle w:val="Heading1"/>
        <w:spacing w:after="120"/>
      </w:pPr>
      <w:r>
        <w:t>Ampliación de las respuestas</w:t>
      </w:r>
    </w:p>
    <w:p>
      <w:pPr>
        <w:spacing w:after="120"/>
      </w:pPr>
      <w:r>
        <w:rPr>
          <w:sz w:val="20"/>
        </w:rPr>
        <w:t>Las respuestas desarrolladas figuran bajo cada pregunta. No se completan datos de una instalación ni se emite una autorización real.</w:t>
      </w:r>
    </w:p>
    <w:p>
      <w:pPr>
        <w:pStyle w:val="Heading1"/>
        <w:spacing w:after="120"/>
      </w:pPr>
      <w:r>
        <w:t>Criterios de evaluación</w:t>
      </w:r>
    </w:p>
    <w:p>
      <w:pPr>
        <w:spacing w:after="80" w:line="252" w:lineRule="auto"/>
      </w:pPr>
      <w:r>
        <w:rPr>
          <w:sz w:val="18"/>
        </w:rPr>
        <w:t>M01  Relaciona necesidad y finalidad.</w:t>
      </w:r>
    </w:p>
    <w:p>
      <w:pPr>
        <w:spacing w:after="80" w:line="252" w:lineRule="auto"/>
      </w:pPr>
      <w:r>
        <w:rPr>
          <w:sz w:val="18"/>
        </w:rPr>
        <w:t>M02  No confunde ruta operativa con alcance de autorización.</w:t>
      </w:r>
    </w:p>
    <w:p>
      <w:pPr>
        <w:spacing w:after="80" w:line="252" w:lineRule="auto"/>
      </w:pPr>
      <w:r>
        <w:rPr>
          <w:sz w:val="18"/>
        </w:rPr>
        <w:t>M03  Evita declarar cumplimiento o infracción sin evidencia.</w:t>
      </w:r>
    </w:p>
    <w:p>
      <w:pPr>
        <w:spacing w:after="80" w:line="252" w:lineRule="auto"/>
      </w:pPr>
      <w:r>
        <w:rPr>
          <w:sz w:val="18"/>
        </w:rPr>
        <w:t>M04  Propone medidas con su alcance técnico real.</w:t>
      </w:r>
    </w:p>
    <w:p>
      <w:pPr>
        <w:spacing w:after="80" w:line="252" w:lineRule="auto"/>
      </w:pPr>
      <w:r>
        <w:rPr>
          <w:sz w:val="18"/>
        </w:rPr>
        <w:t>M05  Reconoce cobertura y minimización de consultas.</w:t>
      </w:r>
    </w:p>
    <w:p>
      <w:pPr>
        <w:spacing w:after="80" w:line="252" w:lineRule="auto"/>
      </w:pPr>
      <w:r>
        <w:rPr>
          <w:sz w:val="18"/>
        </w:rPr>
        <w:t>M06  Sigue la cadena de tratamiento más allá del canal.</w:t>
      </w:r>
    </w:p>
    <w:p>
      <w:pPr>
        <w:spacing w:after="80" w:line="252" w:lineRule="auto"/>
      </w:pPr>
      <w:r>
        <w:rPr>
          <w:sz w:val="18"/>
        </w:rPr>
        <w:t>M07  Separa capacidad técnica y decisión organizativa.</w:t>
      </w:r>
    </w:p>
    <w:p>
      <w:pPr>
        <w:spacing w:after="80" w:line="252" w:lineRule="auto"/>
      </w:pPr>
      <w:r>
        <w:rPr>
          <w:sz w:val="18"/>
        </w:rPr>
        <w:t>M08  Describe el efecto y conserva la ausencia de ejecución.</w:t>
      </w:r>
    </w:p>
    <w:p>
      <w:pPr>
        <w:spacing w:after="80" w:line="252" w:lineRule="auto"/>
      </w:pPr>
      <w:r>
        <w:rPr>
          <w:sz w:val="18"/>
        </w:rPr>
        <w:t>M09  Conclusión proporcionada a los datos disponibles.</w:t>
      </w:r>
    </w:p>
    <w:p>
      <w:pPr>
        <w:spacing w:after="80" w:line="252" w:lineRule="auto"/>
      </w:pPr>
      <w:r>
        <w:rPr>
          <w:sz w:val="18"/>
        </w:rPr>
        <w:t>M10  Sigue el tratamiento completo y no presume resultados.</w:t>
      </w:r>
    </w:p>
    <w:p>
      <w:pPr>
        <w:spacing w:after="80" w:line="252" w:lineRule="auto"/>
      </w:pPr>
      <w:r>
        <w:rPr>
          <w:sz w:val="18"/>
        </w:rPr>
        <w:t>M11  Distingue capacidad, acceso observado y alcance necesario.</w:t>
      </w:r>
    </w:p>
    <w:p>
      <w:pPr>
        <w:spacing w:after="80" w:line="252" w:lineRule="auto"/>
      </w:pPr>
      <w:r>
        <w:rPr>
          <w:sz w:val="18"/>
        </w:rPr>
        <w:t>M12  Documenta finalidad, plazos y comprobación efectiva.</w:t>
      </w:r>
    </w:p>
    <w:p>
      <w:pPr>
        <w:spacing w:after="80" w:line="252" w:lineRule="auto"/>
      </w:pPr>
      <w:r>
        <w:rPr>
          <w:sz w:val="18"/>
        </w:rPr>
        <w:t>M13  Distingue cribado y EIPD; no inventa exención ni obligación automática.</w:t>
      </w:r>
    </w:p>
    <w:p>
      <w:pPr>
        <w:pStyle w:val="Heading2"/>
        <w:spacing w:after="120"/>
      </w:pPr>
      <w:r>
        <w:t>Rúbrica común</w:t>
      </w:r>
    </w:p>
    <w:p>
      <w:pPr>
        <w:spacing w:after="60"/>
      </w:pPr>
      <w:r>
        <w:rPr>
          <w:sz w:val="18"/>
        </w:rPr>
        <w:t>Correcta: conclusión proporcionada, razonamiento y evidencia bien identificados.</w:t>
      </w:r>
    </w:p>
    <w:p>
      <w:pPr>
        <w:spacing w:after="60"/>
      </w:pPr>
      <w:r>
        <w:rPr>
          <w:sz w:val="18"/>
        </w:rPr>
        <w:t>Parcial: conclusión razonable con una omisión relevante.</w:t>
      </w:r>
    </w:p>
    <w:p>
      <w:pPr>
        <w:spacing w:after="60"/>
      </w:pPr>
      <w:r>
        <w:rPr>
          <w:sz w:val="18"/>
        </w:rPr>
        <w:t>A revisar: confunde capacidad y autorización, inventa datos o usa denominadores incorrectos.</w:t>
      </w:r>
    </w:p>
    <w:p>
      <w:pPr>
        <w:spacing w:after="60"/>
      </w:pPr>
      <w:r>
        <w:rPr>
          <w:sz w:val="18"/>
        </w:rPr>
        <w:t>Los criterios valoran la respuesta del alumno. No acreditan cumplimiento de una instalación ni completan evidencia ausente.</w:t>
      </w:r>
    </w:p>
    <w:sectPr w:rsidR="00FC693F" w:rsidRPr="0006063C" w:rsidSect="00034616">
      <w:headerReference w:type="default" r:id="rId9"/>
      <w:footerReference w:type="default" r:id="rId10"/>
      <w:pgSz w:w="11905" w:h="16838"/>
      <w:pgMar w:top="1195" w:right="1123" w:bottom="1037" w:left="1123" w:header="504" w:footer="46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sz w:val="16"/>
      </w:rPr>
      <w:t xml:space="preserve">C6  |  Validación didáctica  |  Página </w:t>
    </w:r>
    <w:fldSimple w:instr="PAGE">
      <w:r>
        <w:t>1</w:t>
      </w:r>
    </w:fldSimple>
    <w:r>
      <w:t xml:space="preserve"> de </w:t>
    </w:r>
    <w:fldSimple w:instr="NUMPAGES">
      <w:r>
        <w:t>1</w:t>
      </w:r>
    </w:fldSimple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rPr>
        <w:sz w:val="16"/>
      </w:rPr>
      <w:t>José Manuel Hernández Agudo  |  C6-E01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keepNext w:val="0"/>
      <w:spacing w:line="269" w:lineRule="auto" w:after="120"/>
    </w:pPr>
    <w:rPr>
      <w:rFonts w:ascii="Arial" w:hAnsi="Arial"/>
      <w:color w:val="000000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keepNext w:val="0"/>
      <w:tabs>
        <w:tab w:val="center" w:pos="4680"/>
        <w:tab w:val="right" w:pos="9360"/>
      </w:tabs>
      <w:spacing w:after="0" w:line="240" w:lineRule="auto"/>
    </w:pPr>
    <w:rPr>
      <w:rFonts w:ascii="Arial" w:hAnsi="Arial"/>
      <w:color w:val="000000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keepNext w:val="0"/>
      <w:tabs>
        <w:tab w:val="center" w:pos="4680"/>
        <w:tab w:val="right" w:pos="9360"/>
      </w:tabs>
      <w:spacing w:after="0" w:line="240" w:lineRule="auto"/>
    </w:pPr>
    <w:rPr>
      <w:rFonts w:ascii="Arial" w:hAnsi="Arial"/>
      <w:color w:val="000000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60" w:after="20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3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00000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000000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</w:pPr>
    <w:rPr>
      <w:rFonts w:asciiTheme="majorHAnsi" w:eastAsiaTheme="majorEastAsia" w:hAnsiTheme="majorHAnsi" w:cstheme="majorBidi" w:ascii="Arial" w:hAnsi="Arial"/>
      <w:b/>
      <w:i w:val="0"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yperlink" Target="https://www.boe.es/doue/2016/119/L00001-00088.pdf" TargetMode="External"/><Relationship Id="rId12" Type="http://schemas.openxmlformats.org/officeDocument/2006/relationships/hyperlink" Target="https://www.boe.es/buscar/act.php?id=BOE-A-2018-16673#a2-10" TargetMode="External"/><Relationship Id="rId13" Type="http://schemas.openxmlformats.org/officeDocument/2006/relationships/hyperlink" Target="https://www.aepd.es/guias/gestion-riesgo-y-evaluacion-impacto-en-tratamientos-datos-personale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Formulario de evaluación de minimización de datos en agentes interactivos Solución orientativa</dc:title>
  <dc:subject>Fundamentos del SGIA e ISO/IEC 42001 | C6-E01</dc:subject>
  <dc:creator>José Manuel Hernández Agudo</dc:creator>
  <cp:keywords>SGIA, ISO 42001, Kumoss, CerbIA, MCP Teams Server, evaluación, evidencia, auditoría, aprobación delegada, recalibración, fatiga de alertas, EIPD, DPIA, privacidad</cp:keywords>
  <dc:description>Material didáctico. No es un expediente de cumplimiento ni una autorización real.</dc:description>
  <cp:lastModifiedBy>José Manuel Hernández Agudo</cp:lastModifiedBy>
  <cp:revision>1</cp:revision>
  <dcterms:created xsi:type="dcterms:W3CDTF">2013-12-23T23:15:00Z</dcterms:created>
  <dcterms:modified xsi:type="dcterms:W3CDTF">2013-12-23T23:15:00Z</dcterms:modified>
  <cp:category/>
</cp:coreProperties>
</file>