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120"/>
      </w:pPr>
      <w:r>
        <w:rPr>
          <w:b/>
          <w:sz w:val="20"/>
        </w:rPr>
        <w:t>MONOGRÁFICO 6  |  ACTIVIDAD DE CONOCIMIENTOS</w:t>
      </w:r>
    </w:p>
    <w:p>
      <w:pPr>
        <w:pStyle w:val="Title"/>
        <w:spacing w:after="120"/>
      </w:pPr>
      <w:r>
        <w:t>Formulario de evaluación de minimización de datos en agentes interactivos</w:t>
      </w:r>
    </w:p>
    <w:p>
      <w:pPr>
        <w:pStyle w:val="Subtitle"/>
        <w:spacing w:after="120"/>
      </w:pPr>
      <w:r>
        <w:t>VERSIÓN ALUMNO</w:t>
      </w:r>
    </w:p>
    <w:p>
      <w:pPr>
        <w:spacing w:after="120"/>
      </w:pPr>
      <w:r>
        <w:rPr>
          <w:sz w:val="20"/>
        </w:rPr>
        <w:t>Fundamentos del SGIA e ISO/IEC 42001</w:t>
      </w:r>
    </w:p>
    <w:p>
      <w:pPr>
        <w:spacing w:after="120"/>
      </w:pPr>
      <w:r>
        <w:rPr>
          <w:sz w:val="18"/>
        </w:rPr>
        <w:t>Identificador didáctico C6-E01  |  Edición 2026-10-26</w:t>
      </w:r>
    </w:p>
    <w:p>
      <w:pPr>
        <w:spacing w:after="120"/>
      </w:pPr>
      <w:r>
        <w:t>Validar la distinción entre finalidad, destino configurado, permisos efectivos, lectura y publicación.</w:t>
      </w:r>
    </w:p>
    <w:p>
      <w:pPr>
        <w:spacing w:after="120"/>
      </w:pPr>
      <w:r>
        <w:t>Responde a las nueve preguntas y a los cuatro ejercicios de ampliación con los hechos aportados. Justifica la conclusión y señala la evidencia pendiente. No inventes datos ni ejecutes los productos.</w:t>
      </w:r>
    </w:p>
    <w:p>
      <w:pPr>
        <w:spacing w:after="180"/>
      </w:pPr>
      <w:r>
        <w:t>Nombre o código de alumno  ____________________________________</w:t>
      </w:r>
    </w:p>
    <w:p>
      <w:pPr>
        <w:spacing w:after="180"/>
      </w:pPr>
      <w:r>
        <w:t>Fecha del ejercicio  ____________________</w:t>
      </w:r>
    </w:p>
    <w:p>
      <w:pPr>
        <w:pStyle w:val="Heading1"/>
        <w:spacing w:after="120"/>
      </w:pPr>
      <w:r>
        <w:t>Hechos aportados</w:t>
      </w:r>
    </w:p>
    <w:p>
      <w:pPr>
        <w:spacing w:after="120"/>
      </w:pPr>
      <w:r>
        <w:t>1. Caso didáctico C6-E01. El servicio se propone resumir información de un único canal público de un equipo. No se facilitan identificadores reales ni se utiliza un tenant.</w:t>
      </w:r>
    </w:p>
    <w:p>
      <w:pPr>
        <w:spacing w:after="120"/>
      </w:pPr>
      <w:r>
        <w:t>2. El servidor apunta a un equipo y un canal; la aplicación tiene ChannelMessage.Read.Group mediante RSC. No se han aportado inventario de concesiones efectivas, justificación del alcance ampliado, retención ni prueba de restricciones.</w:t>
      </w:r>
    </w:p>
    <w:p>
      <w:pPr>
        <w:spacing w:after="120"/>
      </w:pPr>
      <w:r>
        <w:t>3. El cliente redacta un borrador y propone publicarlo sin aportar decisión humana. No consta que se haya enviado ningún mensaje.</w:t>
      </w:r>
    </w:p>
    <w:p>
      <w:pPr>
        <w:spacing w:after="120"/>
      </w:pPr>
      <w:r>
        <w:t>4. La síntesis de MCP Teams Server es la lección 6. update_thread añade una respuesta; read_thread devuelve respuestas y las consultas pueden requerir paginación.</w:t>
      </w:r>
    </w:p>
    <w:p>
      <w:pPr>
        <w:pStyle w:val="Heading2"/>
        <w:spacing w:after="120"/>
      </w:pPr>
      <w:r>
        <w:t>Referencias de estudio</w:t>
      </w:r>
    </w:p>
    <w:p>
      <w:pPr>
        <w:spacing w:after="120"/>
      </w:pPr>
      <w:r>
        <w:rPr>
          <w:sz w:val="18"/>
        </w:rPr>
        <w:t>MCP Teams Server lecciones 2, 3, 4 y 6; Módulos 7, 8, 9 y 11 del curso.</w:t>
      </w:r>
    </w:p>
    <w:p>
      <w:pPr>
        <w:spacing w:after="120"/>
      </w:pPr>
      <w:r>
        <w:rPr>
          <w:sz w:val="18"/>
        </w:rPr>
        <w:t>Modelo didáctico de la forma de evidencia. No es un formulario obligatorio de ISO/IEC 42001 ni una firma electrónica verificada.</w:t>
      </w:r>
    </w:p>
    <w:p>
      <w:r>
        <w:br w:type="page"/>
      </w:r>
    </w:p>
    <w:p>
      <w:pPr>
        <w:pStyle w:val="Heading1"/>
        <w:spacing w:after="120"/>
      </w:pPr>
      <w:r>
        <w:t>Preguntas del ejercicio</w:t>
      </w:r>
    </w:p>
    <w:p>
      <w:pPr>
        <w:spacing w:after="220"/>
      </w:pPr>
      <w:r>
        <w:rPr>
          <w:sz w:val="18"/>
        </w:rPr>
        <w:t>En PDF puedes escribir hasta 600 caracteres por respuesta. Si necesitas más espacio, utiliza la ampliación de la última página e indica la pregunta.</w:t>
      </w:r>
    </w:p>
    <w:p>
      <w:pPr>
        <w:pStyle w:val="Heading2"/>
        <w:spacing w:after="120"/>
      </w:pPr>
      <w:r>
        <w:t>M01 Finalidad y necesidad</w:t>
      </w:r>
    </w:p>
    <w:p>
      <w:pPr>
        <w:spacing w:after="120"/>
      </w:pPr>
      <w:r>
        <w:t>Qué finalidad consta y qué datos deberían justificarse.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pPr>
        <w:pStyle w:val="Heading2"/>
        <w:spacing w:after="120"/>
      </w:pPr>
      <w:r>
        <w:t>M02 Alcance del permiso</w:t>
      </w:r>
    </w:p>
    <w:p>
      <w:pPr>
        <w:spacing w:after="120"/>
      </w:pPr>
      <w:r>
        <w:t>Explica qué permite RSC de equipo frente al canal configurado.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pPr>
        <w:pStyle w:val="Heading2"/>
        <w:spacing w:after="120"/>
      </w:pPr>
      <w:r>
        <w:t>M03 Justificación de minimización</w:t>
      </w:r>
    </w:p>
    <w:p>
      <w:pPr>
        <w:spacing w:after="120"/>
      </w:pPr>
      <w:r>
        <w:t>Qué conclusión puede sostenerse con los datos aportados.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r>
        <w:br w:type="page"/>
      </w:r>
    </w:p>
    <w:p>
      <w:pPr>
        <w:pStyle w:val="Heading1"/>
        <w:spacing w:after="120"/>
      </w:pPr>
      <w:r>
        <w:t>Preguntas del ejercicio</w:t>
      </w:r>
    </w:p>
    <w:p>
      <w:pPr>
        <w:spacing w:after="220"/>
      </w:pPr>
      <w:r>
        <w:rPr>
          <w:sz w:val="18"/>
        </w:rPr>
        <w:t>En PDF puedes escribir hasta 600 caracteres por respuesta. Si necesitas más espacio, utiliza la ampliación de la última página e indica la pregunta.</w:t>
      </w:r>
    </w:p>
    <w:p>
      <w:pPr>
        <w:pStyle w:val="Heading2"/>
        <w:spacing w:after="120"/>
      </w:pPr>
      <w:r>
        <w:t>M04 Medidas y alternativas</w:t>
      </w:r>
    </w:p>
    <w:p>
      <w:pPr>
        <w:spacing w:after="120"/>
      </w:pPr>
      <w:r>
        <w:t>Qué opciones compararías para el supuesto.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pPr>
        <w:pStyle w:val="Heading2"/>
        <w:spacing w:after="120"/>
      </w:pPr>
      <w:r>
        <w:t>M05 Paginación y contexto</w:t>
      </w:r>
    </w:p>
    <w:p>
      <w:pPr>
        <w:spacing w:after="120"/>
      </w:pPr>
      <w:r>
        <w:t>Qué limita la lectura y qué evidencia pedirías.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pPr>
        <w:pStyle w:val="Heading2"/>
        <w:spacing w:after="120"/>
      </w:pPr>
      <w:r>
        <w:t>M06 Destino de datos y conservación</w:t>
      </w:r>
    </w:p>
    <w:p>
      <w:pPr>
        <w:spacing w:after="120"/>
      </w:pPr>
      <w:r>
        <w:t>Qué dependencias adicionales deben constar.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r>
        <w:br w:type="page"/>
      </w:r>
    </w:p>
    <w:p>
      <w:pPr>
        <w:pStyle w:val="Heading1"/>
        <w:spacing w:after="120"/>
      </w:pPr>
      <w:r>
        <w:t>Preguntas del ejercicio</w:t>
      </w:r>
    </w:p>
    <w:p>
      <w:pPr>
        <w:spacing w:after="220"/>
      </w:pPr>
      <w:r>
        <w:rPr>
          <w:sz w:val="18"/>
        </w:rPr>
        <w:t>En PDF puedes escribir hasta 600 caracteres por respuesta. Si necesitas más espacio, utiliza la ampliación de la última página e indica la pregunta.</w:t>
      </w:r>
    </w:p>
    <w:p>
      <w:pPr>
        <w:pStyle w:val="Heading2"/>
        <w:spacing w:after="120"/>
      </w:pPr>
      <w:r>
        <w:t>M07 Borrador y autorización</w:t>
      </w:r>
    </w:p>
    <w:p>
      <w:pPr>
        <w:spacing w:after="120"/>
      </w:pPr>
      <w:r>
        <w:t>En qué estado debe quedar la comunicación del supuesto.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pPr>
        <w:pStyle w:val="Heading2"/>
        <w:spacing w:after="120"/>
      </w:pPr>
      <w:r>
        <w:t>M08 Efecto de la publicación</w:t>
      </w:r>
    </w:p>
    <w:p>
      <w:pPr>
        <w:spacing w:after="120"/>
      </w:pPr>
      <w:r>
        <w:t>Diferencia las herramientas y qué se conserva después.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pPr>
        <w:pStyle w:val="Heading2"/>
        <w:spacing w:after="120"/>
      </w:pPr>
      <w:r>
        <w:t>M09 Conclusión de la evaluación</w:t>
      </w:r>
    </w:p>
    <w:p>
      <w:pPr>
        <w:spacing w:after="120"/>
      </w:pPr>
      <w:r>
        <w:t>Qué falta para cerrar la decisión sobre el uso.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r>
        <w:br w:type="page"/>
      </w:r>
    </w:p>
    <w:p>
      <w:pPr>
        <w:pStyle w:val="Heading1"/>
        <w:spacing w:after="120"/>
      </w:pPr>
      <w:r>
        <w:t>Matriz preliminar de privacidad y cribado EIPD</w:t>
      </w:r>
    </w:p>
    <w:p>
      <w:pPr>
        <w:spacing w:after="200"/>
      </w:pPr>
      <w:r>
        <w:rPr>
          <w:sz w:val="20"/>
        </w:rPr>
        <w:t>Para cada riesgo indica daño a las personas, medidas propuestas, evidencia y responsable. No se conoce una instalación ni se puede puntuar riesgo residual. Es un ejercicio de cribado: no sustituye una EIPD completa exigible.</w:t>
      </w:r>
    </w:p>
    <w:p>
      <w:pPr>
        <w:spacing w:after="160"/>
      </w:pPr>
      <w:r>
        <w:rPr>
          <w:sz w:val="18"/>
        </w:rPr>
        <w:t>Cada respuesta admite hasta 850 caracteres en el PDF. Continúa en la última página si lo necesitas.</w:t>
      </w:r>
    </w:p>
    <w:p>
      <w:pPr>
        <w:pStyle w:val="Heading2"/>
        <w:spacing w:after="120"/>
      </w:pPr>
      <w:r>
        <w:t>M10 Fuga de datos personales</w:t>
      </w:r>
    </w:p>
    <w:p>
      <w:pPr>
        <w:spacing w:after="140"/>
      </w:pPr>
      <w:r>
        <w:t>Analiza el paso de datos desde Teams al cliente, modelo, herramientas y registros.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pPr>
        <w:pStyle w:val="Heading2"/>
        <w:spacing w:after="120"/>
      </w:pPr>
      <w:r>
        <w:t>M11 Historial no autorizado</w:t>
      </w:r>
    </w:p>
    <w:p>
      <w:pPr>
        <w:spacing w:after="140"/>
      </w:pPr>
      <w:r>
        <w:t>Analiza el acceso al historial de otros canales y a mensajes no necesarios.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r>
        <w:br w:type="page"/>
      </w:r>
    </w:p>
    <w:p>
      <w:pPr>
        <w:pStyle w:val="Heading1"/>
        <w:spacing w:after="120"/>
      </w:pPr>
      <w:r>
        <w:t>Matriz preliminar de privacidad y cribado EIPD</w:t>
      </w:r>
    </w:p>
    <w:p>
      <w:pPr>
        <w:spacing w:after="200"/>
      </w:pPr>
      <w:r>
        <w:rPr>
          <w:sz w:val="20"/>
        </w:rPr>
        <w:t>Para cada riesgo indica daño a las personas, medidas propuestas, evidencia y responsable. No se conoce una instalación ni se puede puntuar riesgo residual. Es un ejercicio de cribado: no sustituye una EIPD completa exigible.</w:t>
      </w:r>
    </w:p>
    <w:p>
      <w:pPr>
        <w:spacing w:after="160"/>
      </w:pPr>
      <w:r>
        <w:rPr>
          <w:sz w:val="18"/>
        </w:rPr>
        <w:t>Cada respuesta admite hasta 850 caracteres en el PDF. Continúa en la última página si lo necesitas.</w:t>
      </w:r>
    </w:p>
    <w:p>
      <w:pPr>
        <w:pStyle w:val="Heading2"/>
        <w:spacing w:after="120"/>
      </w:pPr>
      <w:r>
        <w:t>M12 Retención de trazas de depuración</w:t>
      </w:r>
    </w:p>
    <w:p>
      <w:pPr>
        <w:spacing w:after="140"/>
      </w:pPr>
      <w:r>
        <w:t>Cómo fijarías conservación, acceso y borrado.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pPr>
        <w:pStyle w:val="Heading2"/>
        <w:spacing w:after="120"/>
      </w:pPr>
      <w:r>
        <w:t>M13 Cribado EIPD y decisión</w:t>
      </w:r>
    </w:p>
    <w:p>
      <w:pPr>
        <w:spacing w:after="140"/>
      </w:pPr>
      <w:r>
        <w:t>Qué revisarías para decidir si procede una EIPD completa.</w:t>
      </w:r>
    </w:p>
    <w:p>
      <w:pPr>
        <w:spacing w:after="40"/>
      </w:pPr>
      <w:r>
        <w:rPr>
          <w:sz w:val="18"/>
        </w:rPr>
        <w:t>Respuesta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8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60"/>
      </w:pPr>
      <w:r/>
    </w:p>
    <w:p>
      <w:pPr>
        <w:pStyle w:val="Heading2"/>
        <w:spacing w:after="120"/>
      </w:pPr>
      <w:r>
        <w:t>Fuentes para el cribado</w:t>
      </w:r>
    </w:p>
    <w:p>
      <w:pPr>
        <w:spacing w:after="100"/>
      </w:pPr>
      <w:hyperlink r:id="rId11">
        <w:r>
          <w:rPr>
            <w:color w:val="0B6591"/>
            <w:sz w:val="18"/>
          </w:rPr>
          <w:t>RGPD · artículos 35 y 36</w:t>
        </w:r>
      </w:hyperlink>
    </w:p>
    <w:p>
      <w:pPr>
        <w:spacing w:after="100"/>
      </w:pPr>
      <w:hyperlink r:id="rId12">
        <w:r>
          <w:rPr>
            <w:color w:val="0B6591"/>
            <w:sz w:val="18"/>
          </w:rPr>
          <w:t>LOPDGDD · artículo 28</w:t>
        </w:r>
      </w:hyperlink>
    </w:p>
    <w:p>
      <w:pPr>
        <w:spacing w:after="100"/>
      </w:pPr>
      <w:hyperlink r:id="rId13">
        <w:r>
          <w:rPr>
            <w:color w:val="0B6591"/>
            <w:sz w:val="18"/>
          </w:rPr>
          <w:t>AEPD · Gestión del riesgo y EIPD</w:t>
        </w:r>
      </w:hyperlink>
    </w:p>
    <w:p>
      <w:r>
        <w:br w:type="page"/>
      </w:r>
    </w:p>
    <w:p>
      <w:pPr>
        <w:pStyle w:val="Heading1"/>
        <w:spacing w:after="120"/>
      </w:pPr>
      <w:r>
        <w:t>Ampliación de las respuestas</w:t>
      </w:r>
    </w:p>
    <w:p>
      <w:pPr>
        <w:spacing w:after="120"/>
      </w:pPr>
      <w:r>
        <w:rPr>
          <w:sz w:val="18"/>
        </w:rPr>
        <w:t>Añade aquí una continuación. Indica el código de la pregunta a la que corresponde. Cada ampliación admite hasta 350 caracteres en el PDF.</w:t>
      </w:r>
    </w:p>
    <w:p>
      <w:pPr>
        <w:spacing w:after="40"/>
      </w:pPr>
      <w:r>
        <w:rPr>
          <w:b/>
          <w:sz w:val="20"/>
        </w:rPr>
        <w:t>Ampliación 1  |  Pregunta  __________</w:t>
      </w:r>
    </w:p>
    <w:p>
      <w:pPr>
        <w:keepNext w:val="0"/>
        <w:spacing w:before="0" w:after="0" w:line="26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6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6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6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00"/>
      </w:pPr>
      <w:r/>
    </w:p>
    <w:p>
      <w:pPr>
        <w:spacing w:after="40"/>
      </w:pPr>
      <w:r>
        <w:rPr>
          <w:b/>
          <w:sz w:val="20"/>
        </w:rPr>
        <w:t>Ampliación 2  |  Pregunta  __________</w:t>
      </w:r>
    </w:p>
    <w:p>
      <w:pPr>
        <w:keepNext w:val="0"/>
        <w:spacing w:before="0" w:after="0" w:line="26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6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6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keepNext w:val="0"/>
        <w:spacing w:before="0" w:after="0" w:line="260" w:lineRule="exact"/>
        <w:pBdr>
          <w:bottom w:val="single" w:sz="3" w:space="0" w:color="D6E0E5"/>
        </w:pBdr>
      </w:pPr>
      <w:r>
        <w:rPr>
          <w:sz w:val="20"/>
        </w:rPr>
        <w:t xml:space="preserve"> </w:t>
      </w:r>
    </w:p>
    <w:p>
      <w:pPr>
        <w:spacing w:after="100"/>
      </w:pPr>
      <w:r/>
    </w:p>
    <w:p>
      <w:pPr>
        <w:pStyle w:val="Heading1"/>
        <w:spacing w:after="120"/>
      </w:pPr>
      <w:r>
        <w:t>Criterios de evaluación</w:t>
      </w:r>
    </w:p>
    <w:p>
      <w:pPr>
        <w:spacing w:after="80" w:line="252" w:lineRule="auto"/>
      </w:pPr>
      <w:r>
        <w:rPr>
          <w:sz w:val="18"/>
        </w:rPr>
        <w:t>M01  Relaciona necesidad y finalidad.</w:t>
      </w:r>
    </w:p>
    <w:p>
      <w:pPr>
        <w:spacing w:after="80" w:line="252" w:lineRule="auto"/>
      </w:pPr>
      <w:r>
        <w:rPr>
          <w:sz w:val="18"/>
        </w:rPr>
        <w:t>M02  No confunde ruta operativa con alcance de autorización.</w:t>
      </w:r>
    </w:p>
    <w:p>
      <w:pPr>
        <w:spacing w:after="80" w:line="252" w:lineRule="auto"/>
      </w:pPr>
      <w:r>
        <w:rPr>
          <w:sz w:val="18"/>
        </w:rPr>
        <w:t>M03  Evita declarar cumplimiento o infracción sin evidencia.</w:t>
      </w:r>
    </w:p>
    <w:p>
      <w:pPr>
        <w:spacing w:after="80" w:line="252" w:lineRule="auto"/>
      </w:pPr>
      <w:r>
        <w:rPr>
          <w:sz w:val="18"/>
        </w:rPr>
        <w:t>M04  Propone medidas con su alcance técnico real.</w:t>
      </w:r>
    </w:p>
    <w:p>
      <w:pPr>
        <w:spacing w:after="80" w:line="252" w:lineRule="auto"/>
      </w:pPr>
      <w:r>
        <w:rPr>
          <w:sz w:val="18"/>
        </w:rPr>
        <w:t>M05  Reconoce cobertura y minimización de consultas.</w:t>
      </w:r>
    </w:p>
    <w:p>
      <w:pPr>
        <w:spacing w:after="80" w:line="252" w:lineRule="auto"/>
      </w:pPr>
      <w:r>
        <w:rPr>
          <w:sz w:val="18"/>
        </w:rPr>
        <w:t>M06  Sigue la cadena de tratamiento más allá del canal.</w:t>
      </w:r>
    </w:p>
    <w:p>
      <w:pPr>
        <w:spacing w:after="80" w:line="252" w:lineRule="auto"/>
      </w:pPr>
      <w:r>
        <w:rPr>
          <w:sz w:val="18"/>
        </w:rPr>
        <w:t>M07  Separa capacidad técnica y decisión organizativa.</w:t>
      </w:r>
    </w:p>
    <w:p>
      <w:pPr>
        <w:spacing w:after="80" w:line="252" w:lineRule="auto"/>
      </w:pPr>
      <w:r>
        <w:rPr>
          <w:sz w:val="18"/>
        </w:rPr>
        <w:t>M08  Describe el efecto y conserva la ausencia de ejecución.</w:t>
      </w:r>
    </w:p>
    <w:p>
      <w:pPr>
        <w:spacing w:after="80" w:line="252" w:lineRule="auto"/>
      </w:pPr>
      <w:r>
        <w:rPr>
          <w:sz w:val="18"/>
        </w:rPr>
        <w:t>M09  Conclusión proporcionada a los datos disponibles.</w:t>
      </w:r>
    </w:p>
    <w:p>
      <w:pPr>
        <w:spacing w:after="80" w:line="252" w:lineRule="auto"/>
      </w:pPr>
      <w:r>
        <w:rPr>
          <w:sz w:val="18"/>
        </w:rPr>
        <w:t>M10  Sigue el tratamiento completo y no presume resultados.</w:t>
      </w:r>
    </w:p>
    <w:p>
      <w:pPr>
        <w:spacing w:after="80" w:line="252" w:lineRule="auto"/>
      </w:pPr>
      <w:r>
        <w:rPr>
          <w:sz w:val="18"/>
        </w:rPr>
        <w:t>M11  Distingue capacidad, acceso observado y alcance necesario.</w:t>
      </w:r>
    </w:p>
    <w:p>
      <w:pPr>
        <w:spacing w:after="80" w:line="252" w:lineRule="auto"/>
      </w:pPr>
      <w:r>
        <w:rPr>
          <w:sz w:val="18"/>
        </w:rPr>
        <w:t>M12  Documenta finalidad, plazos y comprobación efectiva.</w:t>
      </w:r>
    </w:p>
    <w:p>
      <w:pPr>
        <w:spacing w:after="80" w:line="252" w:lineRule="auto"/>
      </w:pPr>
      <w:r>
        <w:rPr>
          <w:sz w:val="18"/>
        </w:rPr>
        <w:t>M13  Distingue cribado y EIPD; no inventa exención ni obligación automática.</w:t>
      </w:r>
    </w:p>
    <w:p>
      <w:pPr>
        <w:pStyle w:val="Heading2"/>
        <w:spacing w:after="120"/>
      </w:pPr>
      <w:r>
        <w:t>Rúbrica común</w:t>
      </w:r>
    </w:p>
    <w:p>
      <w:pPr>
        <w:spacing w:after="60"/>
      </w:pPr>
      <w:r>
        <w:rPr>
          <w:sz w:val="18"/>
        </w:rPr>
        <w:t>Correcta: conclusión proporcionada, razonamiento y evidencia bien identificados.</w:t>
      </w:r>
    </w:p>
    <w:p>
      <w:pPr>
        <w:spacing w:after="60"/>
      </w:pPr>
      <w:r>
        <w:rPr>
          <w:sz w:val="18"/>
        </w:rPr>
        <w:t>Parcial: conclusión razonable con una omisión relevante.</w:t>
      </w:r>
    </w:p>
    <w:p>
      <w:pPr>
        <w:spacing w:after="60"/>
      </w:pPr>
      <w:r>
        <w:rPr>
          <w:sz w:val="18"/>
        </w:rPr>
        <w:t>A revisar: confunde capacidad y autorización, inventa datos o usa denominadores incorrectos.</w:t>
      </w:r>
    </w:p>
    <w:p>
      <w:pPr>
        <w:spacing w:after="60"/>
      </w:pPr>
      <w:r>
        <w:rPr>
          <w:sz w:val="18"/>
        </w:rPr>
        <w:t>Los criterios valoran la respuesta del alumno. No acreditan cumplimiento de una instalación ni completan evidencia ausente.</w:t>
      </w:r>
    </w:p>
    <w:sectPr w:rsidR="00FC693F" w:rsidRPr="0006063C" w:rsidSect="00034616">
      <w:headerReference w:type="default" r:id="rId9"/>
      <w:footerReference w:type="default" r:id="rId10"/>
      <w:pgSz w:w="11905" w:h="16838"/>
      <w:pgMar w:top="1195" w:right="1123" w:bottom="1037" w:left="1123" w:header="504" w:footer="46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sz w:val="16"/>
      </w:rPr>
      <w:t xml:space="preserve">C6  |  Validación didáctica  |  Página </w:t>
    </w:r>
    <w:fldSimple w:instr="PAGE">
      <w:r>
        <w:t>1</w:t>
      </w:r>
    </w:fldSimple>
    <w:r>
      <w:t xml:space="preserve"> de </w:t>
    </w:r>
    <w:fldSimple w:instr="NUMPAGES">
      <w:r>
        <w:t>1</w:t>
      </w:r>
    </w:fldSimple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  <w:r>
      <w:rPr>
        <w:sz w:val="16"/>
      </w:rPr>
      <w:t>José Manuel Hernández Agudo  |  C6-E01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keepNext w:val="0"/>
      <w:spacing w:line="269" w:lineRule="auto" w:after="120"/>
    </w:pPr>
    <w:rPr>
      <w:rFonts w:ascii="Arial" w:hAnsi="Arial"/>
      <w:color w:val="000000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keepNext w:val="0"/>
      <w:tabs>
        <w:tab w:val="center" w:pos="4680"/>
        <w:tab w:val="right" w:pos="9360"/>
      </w:tabs>
      <w:spacing w:after="0" w:line="240" w:lineRule="auto"/>
    </w:pPr>
    <w:rPr>
      <w:rFonts w:ascii="Arial" w:hAnsi="Arial"/>
      <w:color w:val="000000"/>
    </w:r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keepNext w:val="0"/>
      <w:tabs>
        <w:tab w:val="center" w:pos="4680"/>
        <w:tab w:val="right" w:pos="9360"/>
      </w:tabs>
      <w:spacing w:after="0" w:line="240" w:lineRule="auto"/>
    </w:pPr>
    <w:rPr>
      <w:rFonts w:ascii="Arial" w:hAnsi="Arial"/>
      <w:color w:val="000000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60" w:after="200"/>
      <w:outlineLvl w:val="0"/>
    </w:pPr>
    <w:rPr>
      <w:rFonts w:asciiTheme="majorHAnsi" w:eastAsiaTheme="majorEastAsia" w:hAnsiTheme="majorHAnsi" w:cstheme="majorBidi" w:ascii="Arial" w:hAnsi="Arial"/>
      <w:b/>
      <w:bCs/>
      <w:color w:val="000000"/>
      <w:sz w:val="30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000000"/>
      <w:sz w:val="23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00000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spacing w:after="2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000000"/>
      <w:spacing w:val="5"/>
      <w:kern w:val="28"/>
      <w:sz w:val="44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</w:pPr>
    <w:rPr>
      <w:rFonts w:asciiTheme="majorHAnsi" w:eastAsiaTheme="majorEastAsia" w:hAnsiTheme="majorHAnsi" w:cstheme="majorBidi" w:ascii="Arial" w:hAnsi="Arial"/>
      <w:b/>
      <w:i w:val="0"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yperlink" Target="https://www.boe.es/doue/2016/119/L00001-00088.pdf" TargetMode="External"/><Relationship Id="rId12" Type="http://schemas.openxmlformats.org/officeDocument/2006/relationships/hyperlink" Target="https://www.boe.es/buscar/act.php?id=BOE-A-2018-16673#a2-10" TargetMode="External"/><Relationship Id="rId13" Type="http://schemas.openxmlformats.org/officeDocument/2006/relationships/hyperlink" Target="https://www.aepd.es/guias/gestion-riesgo-y-evaluacion-impacto-en-tratamientos-datos-personale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Formulario de evaluación de minimización de datos en agentes interactivos Versión alumno</dc:title>
  <dc:subject>Fundamentos del SGIA e ISO/IEC 42001 | C6-E01</dc:subject>
  <dc:creator>José Manuel Hernández Agudo</dc:creator>
  <cp:keywords>SGIA, ISO 42001, Kumoss, CerbIA, MCP Teams Server, evaluación, evidencia, auditoría, aprobación delegada, recalibración, fatiga de alertas, EIPD, DPIA, privacidad</cp:keywords>
  <dc:description>Material didáctico. No es un expediente de cumplimiento ni una autorización real.</dc:description>
  <cp:lastModifiedBy>José Manuel Hernández Agudo</cp:lastModifiedBy>
  <cp:revision>1</cp:revision>
  <dcterms:created xsi:type="dcterms:W3CDTF">2013-12-23T23:15:00Z</dcterms:created>
  <dcterms:modified xsi:type="dcterms:W3CDTF">2013-12-23T23:15:00Z</dcterms:modified>
  <cp:category/>
</cp:coreProperties>
</file>